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351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 w:firstLine="3520" w:firstLineChars="1100"/>
              <w:rPr>
                <w:rFonts w:hint="eastAsia" w:ascii="宋体" w:hAnsi="宋体" w:cs="微软雅黑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32"/>
                <w:szCs w:val="32"/>
              </w:rPr>
              <w:t>会议日程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51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center"/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微软雅黑"/>
                <w:b/>
                <w:bCs/>
                <w:color w:val="000000"/>
                <w:sz w:val="24"/>
                <w:szCs w:val="28"/>
              </w:rPr>
              <w:t>2021</w:t>
            </w:r>
            <w:r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  <w:t>年 3 月 19 日（周五）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center"/>
              <w:rPr>
                <w:rFonts w:ascii="宋体" w:hAnsi="宋体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  <w:t>时间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 w:firstLine="2409" w:firstLineChars="1000"/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51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center"/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  <w:t>地点:线上直播+现场会议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9:</w:t>
            </w:r>
            <w:r>
              <w:rPr>
                <w:rFonts w:ascii="宋体" w:hAnsi="宋体" w:cs="微软雅黑"/>
                <w:bCs/>
                <w:color w:val="000000"/>
                <w:sz w:val="24"/>
                <w:szCs w:val="28"/>
              </w:rPr>
              <w:t>00</w:t>
            </w: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-</w:t>
            </w:r>
            <w:r>
              <w:rPr>
                <w:rFonts w:ascii="宋体" w:hAnsi="宋体" w:cs="微软雅黑"/>
                <w:bCs/>
                <w:color w:val="000000"/>
                <w:sz w:val="24"/>
                <w:szCs w:val="28"/>
              </w:rPr>
              <w:t>12</w:t>
            </w: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:</w:t>
            </w:r>
            <w:r>
              <w:rPr>
                <w:rFonts w:ascii="宋体" w:hAnsi="宋体" w:cs="微软雅黑"/>
                <w:bCs/>
                <w:color w:val="000000"/>
                <w:sz w:val="24"/>
                <w:szCs w:val="28"/>
              </w:rPr>
              <w:t>00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肠道微生态研讨学习班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13:30-16:30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临床研究学习班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18:00-21:00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协和MDT病例讨论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13:00-16:00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IBD护理学习班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51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center"/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  <w:t>2021年 3 月 20 日（周六）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center"/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  <w:t>时间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center"/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351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center"/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  <w:t>地点:线上直播+现场会议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8:20-8:30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开幕致辞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8:30-8:50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中国IBD的临床实践和西方的差距及未来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8:50-9:10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IBD MDT共识制定意义及解读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9:10-9:30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IBD精准治疗-我们距离有多远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9:30-9:40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9:40-10:00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在生物制剂时代中国喜忧及如何精准选择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10:00-10:20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生物制剂专题会一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10:20-10:40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left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生物制剂专题会二:</w:t>
            </w: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br w:type="textWrapping"/>
            </w: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一种治疗克罗病的新型生物制剂--乌司奴单抗（曹倩）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10:40-11:00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生物制剂专题会三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11:00-11:30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病例报告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11:30-11:50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美莎拉秦的优点和相关副作用的报告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11:50-12:10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免疫抑制剂的优点和相关副作用的报告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12:10-12:30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中药的优点和相关副作用的报告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12:00-12:30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病例报告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12:30-12:50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临床模型对预测精准诊治研究现状和局限性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12:50-13:10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肠道微生物对预测精准诊治的研究现状和局限性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13:10-13:30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联合多组学对预测精准诊治研究现状和局限性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13:30-13:40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13:40-14:00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老年人在精准治疗中需要考虑的问题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14:00-14:20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妊娠患者在精准治疗中需要考虑的问题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14:20-14:40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儿童在精准治疗中需要考虑的问题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14:40-14:50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14:50-15:10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肠道菌群和结肠癌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15:10-15:30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溃疡性结肠炎癌变中肠道微生物的影响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15:30-15:50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肠道菌群研究设计和动物模型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15:50-16:10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肠道疾病中代谢组学研究进展和研究设计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16:10-16:20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16:20-16:30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闭幕式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51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center"/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  <w:t>2021年 3 月 20 日（周六）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center"/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  <w:t>时间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center"/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  <w:t>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51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jc w:val="center"/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/>
                <w:bCs/>
                <w:color w:val="000000"/>
                <w:sz w:val="24"/>
                <w:szCs w:val="28"/>
              </w:rPr>
              <w:t>地点:线上直播+现场会议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9:00-12:30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right="960"/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微软雅黑"/>
                <w:bCs/>
                <w:color w:val="000000"/>
                <w:sz w:val="24"/>
                <w:szCs w:val="28"/>
              </w:rPr>
              <w:t>文献阅读研讨会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A5015"/>
    <w:rsid w:val="315A5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2021-02-05T07:04:00Z</dcterms:created>
  <dc:creator>qq</dc:creator>
  <cp:lastModifiedBy>qq</cp:lastModifiedBy>
  <dcterms:modified xsi:type="dcterms:W3CDTF">2021-02-05T07:09:46Z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