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8CE8" w14:textId="77777777" w:rsidR="004B64FB" w:rsidRPr="003462C7" w:rsidRDefault="00000000">
      <w:pPr>
        <w:pStyle w:val="1"/>
        <w:widowControl/>
        <w:spacing w:beforeAutospacing="0" w:afterAutospacing="0" w:line="44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 w:rsidRPr="003462C7">
        <w:rPr>
          <w:rFonts w:ascii="黑体" w:eastAsia="黑体" w:hAnsi="黑体" w:cs="黑体"/>
          <w:color w:val="000000"/>
          <w:sz w:val="32"/>
          <w:szCs w:val="32"/>
        </w:rPr>
        <w:t>《头颈CT血管成像人工智能辅助重建技术规范》编制说明</w:t>
      </w:r>
    </w:p>
    <w:p w14:paraId="32418FB3" w14:textId="77777777" w:rsidR="004B64FB" w:rsidRDefault="004B64FB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14:paraId="1832A3B1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一、工作简况</w:t>
      </w:r>
    </w:p>
    <w:p w14:paraId="69BE72B9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（一）任务来源</w:t>
      </w:r>
    </w:p>
    <w:p w14:paraId="4A44109A" w14:textId="62EAB7E4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在头颈</w:t>
      </w:r>
      <w:r w:rsidR="003462C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动脉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CT血管成像（CTA）领域，人工智能辅助重建技术凭借其高效、精准的优势，逐渐成为临床诊疗、科研等工作的重要支撑。然而，当前行业内缺乏统一的人工智能辅助重建技术规范，导致不同研发机构的技术路线、性能指标、应用要求等存在较大差异，重建图像的质量参差不齐，影响了人工智能辅助诊断技术的整体发展和临床应用效果。同时，缺乏统一规范也给医疗AI产品的开发、评估和监管带来了诸多困难。</w:t>
      </w:r>
    </w:p>
    <w:p w14:paraId="303DC547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为解决上述问题，北京医学会牵头组织相关单位和专家，开展了本标准的编制工作。旨在促进行业内部统一认知，提升数据标签的一致性，优化数据集质量，促进人工智能辅助诊断技术在头颈动脉CTA中的应用和发展。</w:t>
      </w:r>
    </w:p>
    <w:p w14:paraId="4CC60CC2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（二）协作单位</w:t>
      </w:r>
    </w:p>
    <w:p w14:paraId="64E451C1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首都医科大学宣武医院、北京大学人民医院、数坤科技股份有限公司。</w:t>
      </w:r>
    </w:p>
    <w:p w14:paraId="26214CCE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（三）主要工作过程</w:t>
      </w:r>
    </w:p>
    <w:p w14:paraId="668C3FB1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1.成立编制组：由首都医科大学宣武医院牵头，联合北京大学人民医院、数坤科技股份有限公司等单位的相关专家成立编制组，明确各成员的职责和分工，制定详细的编制工作计划。</w:t>
      </w:r>
    </w:p>
    <w:p w14:paraId="2D7466BB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2.调研与资料收集：广泛收集国内外头颈CTA人工智能辅助重建技术的相关研究成果、行业实践案例、现有标准规范和政策文件，全面了解行业发展现状、技术瓶颈和实际需求，为标准编制提供了坚实的基础数据和参考依据。</w:t>
      </w:r>
    </w:p>
    <w:p w14:paraId="6595F051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3.标准起草：在充分调研和资料分析的基础上，结合临床实际应用场景和技术发展趋势，起草了本标准的初稿。初稿涵盖了范围、规范性引用文件、术语和定义、评价项目、验证方法等主要内容，明确了数据预处理、重建技术、模型性能、模型应用、硬件与软件等方面的技术要求和评价指标。</w:t>
      </w:r>
    </w:p>
    <w:p w14:paraId="44315234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4.征求意见与修改完善：编制组将标准初稿向行业内相关单位、专家征求意见。之后将对反馈意见进行认真梳理和分析，对合理的意见予以采纳，对标准初稿进行修改和完善。</w:t>
      </w:r>
    </w:p>
    <w:p w14:paraId="332B7B9E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lastRenderedPageBreak/>
        <w:t>5.审查与定稿：后续还会组织专家对标准的科学性、合理性、实用性、可操作性等方面进行全面审查，并提出修改意见。编制组根据审查意见对标准进行最后修改和完善，形成本标准的最终版本。</w:t>
      </w:r>
    </w:p>
    <w:p w14:paraId="2632375D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（四）起草组成员及主要工作</w:t>
      </w:r>
    </w:p>
    <w:p w14:paraId="6F82B1E4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3462C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牵头专家卢洁、洪楠：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统筹标准方向，审核核心技术指标；</w:t>
      </w:r>
    </w:p>
    <w:p w14:paraId="03EF6022" w14:textId="7B1F0B61" w:rsidR="004B64FB" w:rsidRDefault="003462C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起草组医学</w:t>
      </w:r>
      <w:r w:rsidR="00000000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专家张苗、李庚、单艺、於帆、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陈峰、</w:t>
      </w:r>
      <w:r w:rsidR="00000000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隋滨滨、杨运俊、王锡明：提供临床的专业依据，从诊断视角重建图像的质量要求；</w:t>
      </w:r>
    </w:p>
    <w:p w14:paraId="1147A5D6" w14:textId="5EF56753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企业</w:t>
      </w:r>
      <w:r w:rsidR="003462C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研发专家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郑超、何访、赵佳、芦海星、刘银玲：负责将临床需求转化为具体的、可测量的技术指标和模型性能要求。</w:t>
      </w:r>
    </w:p>
    <w:p w14:paraId="04B1C00A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二、标准编制原则和主要内容论据</w:t>
      </w:r>
    </w:p>
    <w:p w14:paraId="3220E313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（一）编制原则</w:t>
      </w:r>
    </w:p>
    <w:p w14:paraId="32B42685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以临床诊断效能为导向，兼顾技术先进性与可实现性。强调AI重建结果必须服务于精准诊断，重建图像需满足头颈部血管狭窄、动脉瘤的诊断需求。因此指标设定紧密围绕血管结构的准确还原，且适配当前CT设备及AI重建算法的能力。</w:t>
      </w:r>
    </w:p>
    <w:p w14:paraId="44369542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（二）主要内容论据</w:t>
      </w:r>
    </w:p>
    <w:p w14:paraId="7D08CFC0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重建技术要求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：指标值基于对当前主流CT设备原始数据能力和临床阅片需求的调研。定量指标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依据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高质量影像后处理及计算机视觉领域的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要求制定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。</w:t>
      </w:r>
    </w:p>
    <w:p w14:paraId="56170397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/>
          <w:color w:val="000000"/>
          <w:kern w:val="0"/>
          <w:sz w:val="24"/>
          <w:lang w:bidi="ar"/>
        </w:rPr>
        <w:t>模型性能要求：重建时间考虑了临床工作流的时效性。鲁棒性要求是基于对临床实际扫描环境复杂性的充分认识，合格率和波动范围的设定旨在确保AI系统在真实世界中的稳定性。</w:t>
      </w:r>
    </w:p>
    <w:p w14:paraId="4BF1A806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/>
          <w:color w:val="000000"/>
          <w:kern w:val="0"/>
          <w:sz w:val="24"/>
          <w:lang w:bidi="ar"/>
        </w:rPr>
        <w:t>评估方法：设计了结合量化指标和主观评分的多维度评估体系。主观评分表示例参考了放射学界通用的图像质量评估方法。</w:t>
      </w:r>
    </w:p>
    <w:p w14:paraId="10C7C4CD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三、主要验证分析与技术经济论证</w:t>
      </w:r>
    </w:p>
    <w:p w14:paraId="5AD59F0C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（一）验证分析</w:t>
      </w:r>
    </w:p>
    <w:p w14:paraId="50438080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/>
          <w:color w:val="000000"/>
          <w:kern w:val="0"/>
          <w:sz w:val="24"/>
          <w:lang w:bidi="ar"/>
        </w:rPr>
        <w:t>利用符合前序标准标注的多中心、多设备数据，对多种AI重建算法进行了验证。测试表明，符合本标准技术要求的算法，其输出的血管重建图像在专家盲评中，质量评分显著高于传统方法，在钙化伪影去除、细小分支显示等方面表现优异，且在不同来源数据上表现稳定。</w:t>
      </w:r>
    </w:p>
    <w:p w14:paraId="48A592FB" w14:textId="77777777" w:rsidR="004B64FB" w:rsidRDefault="00000000">
      <w:pPr>
        <w:widowControl/>
        <w:spacing w:line="440" w:lineRule="exact"/>
        <w:ind w:firstLineChars="200" w:firstLine="482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（二）技术经济论证</w:t>
      </w:r>
    </w:p>
    <w:p w14:paraId="130470EB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/>
          <w:color w:val="000000"/>
          <w:kern w:val="0"/>
          <w:sz w:val="24"/>
          <w:lang w:bidi="ar"/>
        </w:rPr>
        <w:lastRenderedPageBreak/>
        <w:t>本标准实施后，将规范AI重建技术的研发与评价，引导企业将资源集中于提升对诊断至关重要的核心性能。预计将显著提升临床获得的头颈CTA重建图像质量的同质化水平，减少因后处理技术差异导致的诊断差异，为后续的AI辅助诊断提供稳定、高质量的图像输入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，提高临床诊断的精准性，减少漏诊带来的医疗纠纷损失。</w:t>
      </w:r>
    </w:p>
    <w:p w14:paraId="2C6C90A8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四、标准涉及的相关知识产权说明</w:t>
      </w:r>
    </w:p>
    <w:p w14:paraId="5BF65A17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本标准无涉及知识产权的内容。</w:t>
      </w:r>
    </w:p>
    <w:p w14:paraId="14EB1520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五、采用国际标准的程度与水平的简要说明</w:t>
      </w:r>
    </w:p>
    <w:p w14:paraId="19962E44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国际上暂无同类标准，本标准的重建精度、效率指标达到医疗AI影像重建领域的领先水平。</w:t>
      </w:r>
    </w:p>
    <w:p w14:paraId="31799EAD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六、重大意见分歧的处理经过和依据</w:t>
      </w:r>
    </w:p>
    <w:p w14:paraId="21C920A0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/>
          <w:color w:val="000000"/>
          <w:kern w:val="0"/>
          <w:sz w:val="24"/>
          <w:lang w:bidi="ar"/>
        </w:rPr>
        <w:t>主要分歧在于硬件配置的推荐标准。有意见认为应规定更具体的GPU型号以确保性能，另一方认为技术迭代快，规定具体型号不利于标准长效性。处理意见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为，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标准中明确核心性能指标，对硬件配置提出“不低于”某种性能级别的原则性要求，既保证了运行基础，又避免了被具体硬件绑定。</w:t>
      </w:r>
    </w:p>
    <w:p w14:paraId="3BF5626E" w14:textId="77777777" w:rsidR="004B64FB" w:rsidRDefault="00000000">
      <w:pPr>
        <w:pStyle w:val="2"/>
        <w:widowControl/>
        <w:spacing w:beforeAutospacing="0" w:afterAutospacing="0" w:line="440" w:lineRule="exact"/>
        <w:ind w:firstLineChars="200" w:firstLine="560"/>
        <w:jc w:val="both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  <w:t>七、其他应予说明的事项</w:t>
      </w:r>
    </w:p>
    <w:p w14:paraId="4FCDFAAA" w14:textId="77777777" w:rsidR="004B64FB" w:rsidRDefault="00000000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本标准需与《头颈CT血管成像数据标注与质量控制规范》配套使用，以保障数据输入的规范性。</w:t>
      </w:r>
    </w:p>
    <w:sectPr w:rsidR="004B64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D60E" w14:textId="77777777" w:rsidR="00C7623F" w:rsidRDefault="00C7623F">
      <w:r>
        <w:separator/>
      </w:r>
    </w:p>
  </w:endnote>
  <w:endnote w:type="continuationSeparator" w:id="0">
    <w:p w14:paraId="1C6EF2C7" w14:textId="77777777" w:rsidR="00C7623F" w:rsidRDefault="00C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51F6" w14:textId="77777777" w:rsidR="004B64F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0CB3F" wp14:editId="3F4200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78647" w14:textId="77777777" w:rsidR="004B64F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0CB3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178647" w14:textId="77777777" w:rsidR="004B64F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2512" w14:textId="77777777" w:rsidR="00C7623F" w:rsidRDefault="00C7623F">
      <w:r>
        <w:separator/>
      </w:r>
    </w:p>
  </w:footnote>
  <w:footnote w:type="continuationSeparator" w:id="0">
    <w:p w14:paraId="1E7A589B" w14:textId="77777777" w:rsidR="00C7623F" w:rsidRDefault="00C7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DBC16C8"/>
    <w:rsid w:val="003462C7"/>
    <w:rsid w:val="004B64FB"/>
    <w:rsid w:val="006D2035"/>
    <w:rsid w:val="00C7623F"/>
    <w:rsid w:val="1CFFCA72"/>
    <w:rsid w:val="1DBFA4BF"/>
    <w:rsid w:val="23FFA185"/>
    <w:rsid w:val="3AFF5816"/>
    <w:rsid w:val="3FFD053A"/>
    <w:rsid w:val="4BBB62D0"/>
    <w:rsid w:val="56DFA1DE"/>
    <w:rsid w:val="5AD95A21"/>
    <w:rsid w:val="5BFF9E66"/>
    <w:rsid w:val="5CF58696"/>
    <w:rsid w:val="5F75F7B4"/>
    <w:rsid w:val="5FDFF515"/>
    <w:rsid w:val="6AE74ACB"/>
    <w:rsid w:val="6D5AA313"/>
    <w:rsid w:val="6F7AEB06"/>
    <w:rsid w:val="6F7FC874"/>
    <w:rsid w:val="6FBF9B91"/>
    <w:rsid w:val="6FFE5A8F"/>
    <w:rsid w:val="75BFC452"/>
    <w:rsid w:val="75FFCE9B"/>
    <w:rsid w:val="7BBFE4EC"/>
    <w:rsid w:val="7DFF3763"/>
    <w:rsid w:val="7EB31DA5"/>
    <w:rsid w:val="7EFFCFE2"/>
    <w:rsid w:val="7FDB301E"/>
    <w:rsid w:val="7FFBA9D9"/>
    <w:rsid w:val="7FFFC58B"/>
    <w:rsid w:val="B5FF179E"/>
    <w:rsid w:val="BEEF693B"/>
    <w:rsid w:val="BEFFDAA1"/>
    <w:rsid w:val="BF7F0322"/>
    <w:rsid w:val="CBFFBC9C"/>
    <w:rsid w:val="CDBC16C8"/>
    <w:rsid w:val="D07D6FFB"/>
    <w:rsid w:val="E3DE89B7"/>
    <w:rsid w:val="E40F0540"/>
    <w:rsid w:val="ECE25F26"/>
    <w:rsid w:val="F791EA9D"/>
    <w:rsid w:val="F7FD89E0"/>
    <w:rsid w:val="FBF3BAC5"/>
    <w:rsid w:val="FD771564"/>
    <w:rsid w:val="FD9C29B8"/>
    <w:rsid w:val="FDCDFAE5"/>
    <w:rsid w:val="FE6EB4C1"/>
    <w:rsid w:val="FFFFC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725CD"/>
  <w15:docId w15:val="{EF13CE21-FFDC-4082-8B11-670A8BD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小雪球</dc:creator>
  <cp:lastModifiedBy>Dr.M</cp:lastModifiedBy>
  <cp:revision>2</cp:revision>
  <dcterms:created xsi:type="dcterms:W3CDTF">2026-01-18T08:22:00Z</dcterms:created>
  <dcterms:modified xsi:type="dcterms:W3CDTF">2026-01-25T10:34:00Z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EFEBCD7D89DE58EDD9466B69798A2E8E_41</vt:lpwstr>
  </property>
</Properties>
</file>