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1932" w14:textId="77777777" w:rsidR="005B791F" w:rsidRDefault="00000000">
      <w:pPr>
        <w:pStyle w:val="41"/>
        <w:spacing w:line="360" w:lineRule="auto"/>
        <w:rPr>
          <w:rFonts w:ascii="Times New Roman" w:hAnsi="Times New Roman" w:cs="Times New Roman"/>
        </w:rPr>
      </w:pPr>
      <w:r>
        <w:rPr>
          <w:rFonts w:ascii="Times New Roman" w:hAnsi="Times New Roman" w:cs="Times New Roman"/>
        </w:rPr>
        <w:t>附件</w:t>
      </w:r>
      <w:r>
        <w:rPr>
          <w:rFonts w:ascii="Times New Roman" w:hAnsi="Times New Roman" w:cs="Times New Roman"/>
        </w:rPr>
        <w:t xml:space="preserve">3 </w:t>
      </w:r>
    </w:p>
    <w:p w14:paraId="22105973" w14:textId="77777777" w:rsidR="005B791F" w:rsidRDefault="00000000">
      <w:pPr>
        <w:spacing w:line="360" w:lineRule="auto"/>
        <w:jc w:val="left"/>
        <w:rPr>
          <w:rFonts w:ascii="Times New Roman" w:eastAsia="仿宋" w:hAnsi="Times New Roman" w:cs="Times New Roman"/>
          <w:sz w:val="28"/>
          <w:szCs w:val="28"/>
        </w:rPr>
      </w:pPr>
      <w:r>
        <w:rPr>
          <w:rFonts w:ascii="Times New Roman" w:eastAsia="仿宋" w:hAnsi="Times New Roman" w:cs="Times New Roman"/>
          <w:sz w:val="28"/>
          <w:szCs w:val="28"/>
        </w:rPr>
        <w:t>ICS</w:t>
      </w:r>
      <w:r>
        <w:rPr>
          <w:rFonts w:ascii="Times New Roman" w:eastAsia="仿宋" w:hAnsi="Times New Roman" w:cs="Times New Roman"/>
          <w:sz w:val="28"/>
          <w:szCs w:val="28"/>
        </w:rPr>
        <w:t>号</w:t>
      </w:r>
    </w:p>
    <w:p w14:paraId="684452C9" w14:textId="77777777" w:rsidR="005B791F" w:rsidRDefault="00000000">
      <w:pPr>
        <w:spacing w:line="360" w:lineRule="auto"/>
        <w:jc w:val="left"/>
        <w:rPr>
          <w:rFonts w:ascii="Times New Roman" w:eastAsia="仿宋" w:hAnsi="Times New Roman" w:cs="Times New Roman"/>
          <w:sz w:val="28"/>
          <w:szCs w:val="28"/>
        </w:rPr>
      </w:pPr>
      <w:r>
        <w:rPr>
          <w:rFonts w:ascii="Times New Roman" w:eastAsia="仿宋" w:hAnsi="Times New Roman" w:cs="Times New Roman"/>
          <w:sz w:val="28"/>
          <w:szCs w:val="28"/>
        </w:rPr>
        <w:t>中国标准文献分类号</w:t>
      </w:r>
    </w:p>
    <w:p w14:paraId="2028EA33" w14:textId="77777777" w:rsidR="005B791F" w:rsidRDefault="00000000">
      <w:pPr>
        <w:spacing w:beforeLines="100" w:before="312" w:afterLines="100" w:after="312" w:line="360" w:lineRule="auto"/>
        <w:jc w:val="center"/>
        <w:rPr>
          <w:rFonts w:ascii="Times New Roman" w:eastAsia="宋体" w:hAnsi="Times New Roman" w:cs="Times New Roman"/>
          <w:sz w:val="96"/>
          <w:szCs w:val="28"/>
        </w:rPr>
      </w:pPr>
      <w:r>
        <w:rPr>
          <w:rFonts w:ascii="Times New Roman" w:eastAsia="宋体" w:hAnsi="Times New Roman" w:cs="Times New Roman"/>
          <w:sz w:val="96"/>
          <w:szCs w:val="28"/>
        </w:rPr>
        <w:t>团</w:t>
      </w:r>
      <w:r>
        <w:rPr>
          <w:rFonts w:ascii="Times New Roman" w:eastAsia="宋体" w:hAnsi="Times New Roman" w:cs="Times New Roman"/>
          <w:sz w:val="96"/>
          <w:szCs w:val="28"/>
        </w:rPr>
        <w:t xml:space="preserve">  </w:t>
      </w:r>
      <w:r>
        <w:rPr>
          <w:rFonts w:ascii="Times New Roman" w:eastAsia="宋体" w:hAnsi="Times New Roman" w:cs="Times New Roman"/>
          <w:sz w:val="96"/>
          <w:szCs w:val="28"/>
        </w:rPr>
        <w:t>体</w:t>
      </w:r>
      <w:r>
        <w:rPr>
          <w:rFonts w:ascii="Times New Roman" w:eastAsia="宋体" w:hAnsi="Times New Roman" w:cs="Times New Roman"/>
          <w:sz w:val="96"/>
          <w:szCs w:val="28"/>
        </w:rPr>
        <w:t xml:space="preserve">  </w:t>
      </w:r>
      <w:r>
        <w:rPr>
          <w:rFonts w:ascii="Times New Roman" w:eastAsia="宋体" w:hAnsi="Times New Roman" w:cs="Times New Roman"/>
          <w:sz w:val="96"/>
          <w:szCs w:val="28"/>
        </w:rPr>
        <w:t>标</w:t>
      </w:r>
      <w:r>
        <w:rPr>
          <w:rFonts w:ascii="Times New Roman" w:eastAsia="宋体" w:hAnsi="Times New Roman" w:cs="Times New Roman"/>
          <w:sz w:val="96"/>
          <w:szCs w:val="28"/>
        </w:rPr>
        <w:t xml:space="preserve">  </w:t>
      </w:r>
      <w:r>
        <w:rPr>
          <w:rFonts w:ascii="Times New Roman" w:eastAsia="宋体" w:hAnsi="Times New Roman" w:cs="Times New Roman"/>
          <w:sz w:val="96"/>
          <w:szCs w:val="28"/>
        </w:rPr>
        <w:t>准</w:t>
      </w:r>
    </w:p>
    <w:p w14:paraId="5CAD5FB2" w14:textId="77777777" w:rsidR="005B791F" w:rsidRDefault="00000000">
      <w:pPr>
        <w:spacing w:line="360" w:lineRule="auto"/>
        <w:jc w:val="right"/>
        <w:rPr>
          <w:rFonts w:ascii="Times New Roman" w:eastAsia="黑体" w:hAnsi="Times New Roman" w:cs="Times New Roman"/>
          <w:sz w:val="22"/>
          <w:szCs w:val="28"/>
        </w:rPr>
      </w:pPr>
      <w:r>
        <w:rPr>
          <w:rFonts w:ascii="Times New Roman" w:eastAsia="黑体" w:hAnsi="Times New Roman" w:cs="Times New Roman"/>
          <w:sz w:val="22"/>
          <w:szCs w:val="28"/>
        </w:rPr>
        <w:t>团体标准编号</w:t>
      </w:r>
      <w:r>
        <w:rPr>
          <w:rFonts w:ascii="Times New Roman" w:eastAsia="黑体" w:hAnsi="Times New Roman" w:cs="Times New Roman"/>
          <w:sz w:val="22"/>
          <w:szCs w:val="28"/>
        </w:rPr>
        <w:t>T/BJYXH XXXX-XXXX</w:t>
      </w:r>
    </w:p>
    <w:p w14:paraId="023D2036" w14:textId="77777777" w:rsidR="005B791F" w:rsidRDefault="00000000">
      <w:pPr>
        <w:spacing w:line="360" w:lineRule="auto"/>
        <w:jc w:val="right"/>
        <w:rPr>
          <w:rFonts w:ascii="Times New Roman" w:eastAsia="黑体" w:hAnsi="Times New Roman" w:cs="Times New Roman"/>
          <w:sz w:val="22"/>
          <w:szCs w:val="28"/>
        </w:rPr>
      </w:pPr>
      <w:r>
        <w:rPr>
          <w:rFonts w:ascii="Times New Roman" w:eastAsia="黑体" w:hAnsi="Times New Roman" w:cs="Times New Roman"/>
          <w:sz w:val="22"/>
          <w:szCs w:val="28"/>
        </w:rPr>
        <w:t>代替的团体标准编号（修订填写）</w:t>
      </w:r>
    </w:p>
    <w:p w14:paraId="7E096459" w14:textId="77777777" w:rsidR="005B791F" w:rsidRDefault="00000000">
      <w:pPr>
        <w:spacing w:line="360" w:lineRule="auto"/>
        <w:jc w:val="left"/>
        <w:rPr>
          <w:rFonts w:ascii="Times New Roman" w:eastAsia="宋体" w:hAnsi="Times New Roman" w:cs="Times New Roman"/>
          <w:sz w:val="28"/>
          <w:szCs w:val="28"/>
          <w:u w:val="single"/>
        </w:rPr>
      </w:pPr>
      <w:r>
        <w:rPr>
          <w:rFonts w:ascii="Times New Roman" w:eastAsia="宋体" w:hAnsi="Times New Roman" w:cs="Times New Roman"/>
          <w:sz w:val="28"/>
          <w:szCs w:val="28"/>
          <w:u w:val="single"/>
        </w:rPr>
        <w:t xml:space="preserve">                                                           </w:t>
      </w:r>
    </w:p>
    <w:p w14:paraId="495B9508" w14:textId="77777777" w:rsidR="005B791F" w:rsidRDefault="005B791F">
      <w:pPr>
        <w:spacing w:line="360" w:lineRule="auto"/>
        <w:jc w:val="left"/>
        <w:rPr>
          <w:rFonts w:ascii="Times New Roman" w:eastAsia="宋体" w:hAnsi="Times New Roman" w:cs="Times New Roman"/>
          <w:sz w:val="28"/>
          <w:szCs w:val="28"/>
        </w:rPr>
      </w:pPr>
    </w:p>
    <w:p w14:paraId="597137A2" w14:textId="77777777" w:rsidR="005B791F" w:rsidRDefault="005B791F">
      <w:pPr>
        <w:spacing w:line="360" w:lineRule="auto"/>
        <w:jc w:val="left"/>
        <w:rPr>
          <w:rFonts w:ascii="Times New Roman" w:eastAsia="宋体" w:hAnsi="Times New Roman" w:cs="Times New Roman"/>
          <w:sz w:val="28"/>
          <w:szCs w:val="28"/>
        </w:rPr>
      </w:pPr>
    </w:p>
    <w:p w14:paraId="677038FC" w14:textId="77777777" w:rsidR="005B791F" w:rsidRDefault="005B791F">
      <w:pPr>
        <w:spacing w:line="360" w:lineRule="auto"/>
        <w:jc w:val="left"/>
        <w:rPr>
          <w:rFonts w:ascii="Times New Roman" w:eastAsia="宋体" w:hAnsi="Times New Roman" w:cs="Times New Roman"/>
          <w:sz w:val="28"/>
          <w:szCs w:val="28"/>
        </w:rPr>
      </w:pPr>
    </w:p>
    <w:p w14:paraId="57471468" w14:textId="77777777" w:rsidR="005B791F" w:rsidRDefault="00000000">
      <w:pPr>
        <w:spacing w:line="360" w:lineRule="auto"/>
        <w:jc w:val="center"/>
        <w:rPr>
          <w:rFonts w:ascii="Times New Roman" w:eastAsia="黑体" w:hAnsi="Times New Roman" w:cs="Times New Roman"/>
          <w:sz w:val="52"/>
          <w:szCs w:val="28"/>
        </w:rPr>
      </w:pPr>
      <w:r>
        <w:rPr>
          <w:rFonts w:ascii="Times New Roman" w:eastAsia="黑体" w:hAnsi="Times New Roman" w:cs="Times New Roman"/>
          <w:sz w:val="52"/>
          <w:szCs w:val="28"/>
        </w:rPr>
        <w:t>抗磷脂抗体检测标准</w:t>
      </w:r>
    </w:p>
    <w:p w14:paraId="5CE6B318" w14:textId="77777777" w:rsidR="005B791F" w:rsidRDefault="00000000">
      <w:pPr>
        <w:spacing w:line="360" w:lineRule="auto"/>
        <w:jc w:val="center"/>
        <w:rPr>
          <w:rFonts w:ascii="Times New Roman" w:eastAsia="等线" w:hAnsi="Times New Roman" w:cs="Times New Roman"/>
          <w:sz w:val="28"/>
          <w:szCs w:val="28"/>
        </w:rPr>
      </w:pPr>
      <w:r>
        <w:rPr>
          <w:rFonts w:ascii="Times New Roman" w:eastAsia="等线" w:hAnsi="Times New Roman" w:cs="Times New Roman"/>
          <w:sz w:val="28"/>
          <w:szCs w:val="28"/>
        </w:rPr>
        <w:t xml:space="preserve">The </w:t>
      </w:r>
      <w:r>
        <w:rPr>
          <w:rFonts w:ascii="Times New Roman" w:eastAsia="等线" w:hAnsi="Times New Roman" w:cs="Times New Roman" w:hint="eastAsia"/>
          <w:sz w:val="28"/>
          <w:szCs w:val="28"/>
        </w:rPr>
        <w:t xml:space="preserve">standards of </w:t>
      </w:r>
      <w:r>
        <w:rPr>
          <w:rFonts w:ascii="Times New Roman" w:eastAsia="等线" w:hAnsi="Times New Roman" w:cs="Times New Roman"/>
          <w:sz w:val="28"/>
          <w:szCs w:val="28"/>
        </w:rPr>
        <w:t>detections of antiphospholipid antibodies</w:t>
      </w:r>
    </w:p>
    <w:p w14:paraId="19718D57" w14:textId="77777777" w:rsidR="005B791F" w:rsidRDefault="005B791F">
      <w:pPr>
        <w:spacing w:line="360" w:lineRule="auto"/>
        <w:jc w:val="left"/>
        <w:rPr>
          <w:rFonts w:ascii="Times New Roman" w:eastAsia="宋体" w:hAnsi="Times New Roman" w:cs="Times New Roman"/>
          <w:sz w:val="28"/>
          <w:szCs w:val="28"/>
        </w:rPr>
      </w:pPr>
    </w:p>
    <w:p w14:paraId="3448127B" w14:textId="77777777" w:rsidR="005B791F" w:rsidRDefault="005B791F">
      <w:pPr>
        <w:spacing w:line="360" w:lineRule="auto"/>
        <w:jc w:val="left"/>
        <w:rPr>
          <w:rFonts w:ascii="Times New Roman" w:eastAsia="宋体" w:hAnsi="Times New Roman" w:cs="Times New Roman"/>
          <w:sz w:val="28"/>
          <w:szCs w:val="28"/>
        </w:rPr>
      </w:pPr>
    </w:p>
    <w:p w14:paraId="4BF9C449" w14:textId="77777777" w:rsidR="005B791F" w:rsidRDefault="005B791F">
      <w:pPr>
        <w:spacing w:line="360" w:lineRule="auto"/>
        <w:jc w:val="left"/>
        <w:rPr>
          <w:rFonts w:ascii="Times New Roman" w:eastAsia="宋体" w:hAnsi="Times New Roman" w:cs="Times New Roman"/>
          <w:sz w:val="28"/>
          <w:szCs w:val="28"/>
        </w:rPr>
      </w:pPr>
    </w:p>
    <w:p w14:paraId="52959914" w14:textId="77777777" w:rsidR="00E82B56" w:rsidRDefault="00E82B56" w:rsidP="00E82B56">
      <w:pPr>
        <w:spacing w:line="360" w:lineRule="auto"/>
        <w:jc w:val="left"/>
        <w:rPr>
          <w:rFonts w:ascii="Times New Roman" w:eastAsia="宋体" w:hAnsi="Times New Roman" w:cs="Times New Roman"/>
          <w:sz w:val="28"/>
          <w:szCs w:val="28"/>
        </w:rPr>
      </w:pPr>
    </w:p>
    <w:p w14:paraId="451F2EDC" w14:textId="3F91AC8E" w:rsidR="005B791F" w:rsidRDefault="00000000" w:rsidP="00E82B56">
      <w:pPr>
        <w:spacing w:line="360" w:lineRule="auto"/>
        <w:jc w:val="left"/>
        <w:rPr>
          <w:rFonts w:ascii="Times New Roman" w:eastAsia="宋体" w:hAnsi="Times New Roman" w:cs="Times New Roman"/>
          <w:sz w:val="28"/>
          <w:szCs w:val="28"/>
        </w:rPr>
      </w:pPr>
      <w:r>
        <w:rPr>
          <w:rFonts w:ascii="Times New Roman" w:eastAsia="宋体" w:hAnsi="Times New Roman" w:cs="Times New Roman"/>
          <w:sz w:val="28"/>
          <w:szCs w:val="28"/>
        </w:rPr>
        <w:t>XXXX</w:t>
      </w:r>
      <w:r>
        <w:rPr>
          <w:rFonts w:ascii="Times New Roman" w:eastAsia="宋体" w:hAnsi="Times New Roman" w:cs="Times New Roman"/>
          <w:sz w:val="28"/>
          <w:szCs w:val="28"/>
        </w:rPr>
        <w:t>年</w:t>
      </w:r>
      <w:r>
        <w:rPr>
          <w:rFonts w:ascii="Times New Roman" w:eastAsia="宋体" w:hAnsi="Times New Roman" w:cs="Times New Roman"/>
          <w:sz w:val="28"/>
          <w:szCs w:val="28"/>
        </w:rPr>
        <w:t>XX</w:t>
      </w:r>
      <w:r>
        <w:rPr>
          <w:rFonts w:ascii="Times New Roman" w:eastAsia="宋体" w:hAnsi="Times New Roman" w:cs="Times New Roman"/>
          <w:sz w:val="28"/>
          <w:szCs w:val="28"/>
        </w:rPr>
        <w:t>月</w:t>
      </w:r>
      <w:r>
        <w:rPr>
          <w:rFonts w:ascii="Times New Roman" w:eastAsia="宋体" w:hAnsi="Times New Roman" w:cs="Times New Roman"/>
          <w:sz w:val="28"/>
          <w:szCs w:val="28"/>
        </w:rPr>
        <w:t>XX</w:t>
      </w:r>
      <w:r>
        <w:rPr>
          <w:rFonts w:ascii="Times New Roman" w:eastAsia="宋体" w:hAnsi="Times New Roman" w:cs="Times New Roman"/>
          <w:sz w:val="28"/>
          <w:szCs w:val="28"/>
        </w:rPr>
        <w:t>日</w:t>
      </w:r>
      <w:r>
        <w:rPr>
          <w:rFonts w:ascii="Times New Roman" w:eastAsia="宋体" w:hAnsi="Times New Roman" w:cs="Times New Roman"/>
          <w:sz w:val="28"/>
          <w:szCs w:val="28"/>
        </w:rPr>
        <w:t xml:space="preserve">                  XXXX</w:t>
      </w:r>
      <w:r>
        <w:rPr>
          <w:rFonts w:ascii="Times New Roman" w:eastAsia="宋体" w:hAnsi="Times New Roman" w:cs="Times New Roman"/>
          <w:sz w:val="28"/>
          <w:szCs w:val="28"/>
        </w:rPr>
        <w:t>年</w:t>
      </w:r>
      <w:r>
        <w:rPr>
          <w:rFonts w:ascii="Times New Roman" w:eastAsia="宋体" w:hAnsi="Times New Roman" w:cs="Times New Roman"/>
          <w:sz w:val="28"/>
          <w:szCs w:val="28"/>
        </w:rPr>
        <w:t>XX</w:t>
      </w:r>
      <w:r>
        <w:rPr>
          <w:rFonts w:ascii="Times New Roman" w:eastAsia="宋体" w:hAnsi="Times New Roman" w:cs="Times New Roman"/>
          <w:sz w:val="28"/>
          <w:szCs w:val="28"/>
        </w:rPr>
        <w:t>月</w:t>
      </w:r>
      <w:r>
        <w:rPr>
          <w:rFonts w:ascii="Times New Roman" w:eastAsia="宋体" w:hAnsi="Times New Roman" w:cs="Times New Roman"/>
          <w:sz w:val="28"/>
          <w:szCs w:val="28"/>
        </w:rPr>
        <w:t>XX</w:t>
      </w:r>
      <w:r>
        <w:rPr>
          <w:rFonts w:ascii="Times New Roman" w:eastAsia="宋体" w:hAnsi="Times New Roman" w:cs="Times New Roman"/>
          <w:sz w:val="28"/>
          <w:szCs w:val="28"/>
        </w:rPr>
        <w:t>日实施</w:t>
      </w:r>
    </w:p>
    <w:p w14:paraId="585581B1" w14:textId="77777777" w:rsidR="005B791F" w:rsidRDefault="00000000">
      <w:pPr>
        <w:spacing w:line="360" w:lineRule="auto"/>
        <w:jc w:val="left"/>
        <w:rPr>
          <w:rFonts w:ascii="Times New Roman" w:eastAsia="宋体" w:hAnsi="Times New Roman" w:cs="Times New Roman"/>
          <w:sz w:val="28"/>
          <w:szCs w:val="28"/>
          <w:u w:val="single"/>
        </w:rPr>
      </w:pPr>
      <w:r>
        <w:rPr>
          <w:rFonts w:ascii="Times New Roman" w:eastAsia="宋体" w:hAnsi="Times New Roman" w:cs="Times New Roman"/>
          <w:sz w:val="28"/>
          <w:szCs w:val="28"/>
          <w:u w:val="single"/>
        </w:rPr>
        <w:t xml:space="preserve">                                                           </w:t>
      </w:r>
    </w:p>
    <w:p w14:paraId="635D3FFC" w14:textId="77777777" w:rsidR="005B791F" w:rsidRDefault="00000000">
      <w:pPr>
        <w:spacing w:line="360" w:lineRule="auto"/>
        <w:jc w:val="center"/>
        <w:rPr>
          <w:rFonts w:ascii="Times New Roman" w:eastAsia="宋体" w:hAnsi="Times New Roman" w:cs="Times New Roman"/>
          <w:sz w:val="28"/>
          <w:szCs w:val="28"/>
        </w:rPr>
        <w:sectPr w:rsidR="005B791F">
          <w:headerReference w:type="default" r:id="rId8"/>
          <w:footerReference w:type="default" r:id="rId9"/>
          <w:pgSz w:w="11906" w:h="16838"/>
          <w:pgMar w:top="1440" w:right="1800" w:bottom="1440" w:left="1800" w:header="851" w:footer="992" w:gutter="0"/>
          <w:cols w:space="425"/>
          <w:docGrid w:type="lines" w:linePitch="312"/>
        </w:sectPr>
      </w:pPr>
      <w:r>
        <w:rPr>
          <w:rFonts w:ascii="Times New Roman" w:eastAsia="宋体" w:hAnsi="Times New Roman" w:cs="Times New Roman"/>
          <w:sz w:val="40"/>
          <w:szCs w:val="28"/>
        </w:rPr>
        <w:t>北京医学会</w:t>
      </w:r>
      <w:r>
        <w:rPr>
          <w:rFonts w:ascii="Times New Roman" w:eastAsia="宋体" w:hAnsi="Times New Roman" w:cs="Times New Roman"/>
          <w:sz w:val="40"/>
          <w:szCs w:val="28"/>
        </w:rPr>
        <w:t xml:space="preserve"> </w:t>
      </w:r>
      <w:r>
        <w:rPr>
          <w:rFonts w:ascii="Times New Roman" w:eastAsia="黑体" w:hAnsi="Times New Roman" w:cs="Times New Roman"/>
          <w:sz w:val="28"/>
          <w:szCs w:val="28"/>
        </w:rPr>
        <w:t>发布</w:t>
      </w:r>
    </w:p>
    <w:p w14:paraId="102EF0A3" w14:textId="77777777" w:rsidR="00FE251A" w:rsidRPr="00790FDA" w:rsidRDefault="00FE251A" w:rsidP="00FE251A">
      <w:pPr>
        <w:spacing w:line="360" w:lineRule="auto"/>
        <w:jc w:val="center"/>
        <w:rPr>
          <w:rFonts w:ascii="Times New Roman" w:eastAsia="宋体" w:hAnsi="Times New Roman" w:cs="Times New Roman"/>
          <w:b/>
          <w:bCs/>
          <w:sz w:val="28"/>
          <w:szCs w:val="28"/>
        </w:rPr>
      </w:pPr>
      <w:r w:rsidRPr="00790FDA">
        <w:rPr>
          <w:rFonts w:ascii="Times New Roman" w:eastAsia="宋体" w:hAnsi="Times New Roman" w:cs="Times New Roman" w:hint="eastAsia"/>
          <w:b/>
          <w:bCs/>
          <w:sz w:val="28"/>
          <w:szCs w:val="28"/>
        </w:rPr>
        <w:lastRenderedPageBreak/>
        <w:t>目次</w:t>
      </w:r>
    </w:p>
    <w:sdt>
      <w:sdtPr>
        <w:rPr>
          <w:rFonts w:asciiTheme="minorHAnsi" w:eastAsiaTheme="minorEastAsia" w:hAnsiTheme="minorHAnsi" w:cstheme="minorBidi"/>
          <w:color w:val="auto"/>
          <w:kern w:val="2"/>
          <w:sz w:val="21"/>
          <w:szCs w:val="22"/>
          <w:lang w:val="zh-CN"/>
          <w14:ligatures w14:val="standardContextual"/>
        </w:rPr>
        <w:id w:val="-275244463"/>
        <w:docPartObj>
          <w:docPartGallery w:val="Table of Contents"/>
          <w:docPartUnique/>
        </w:docPartObj>
      </w:sdtPr>
      <w:sdtEndPr>
        <w:rPr>
          <w:b/>
          <w:bCs/>
        </w:rPr>
      </w:sdtEndPr>
      <w:sdtContent>
        <w:p w14:paraId="341BA2C5" w14:textId="726F474A" w:rsidR="0063766E" w:rsidRDefault="0063766E">
          <w:pPr>
            <w:pStyle w:val="TOC"/>
            <w:rPr>
              <w:rFonts w:hint="eastAsia"/>
            </w:rPr>
          </w:pPr>
        </w:p>
        <w:p w14:paraId="72CDDB11" w14:textId="5053DC39" w:rsidR="0063766E" w:rsidRPr="0063766E" w:rsidRDefault="0063766E" w:rsidP="0063766E">
          <w:pPr>
            <w:pStyle w:val="TOC1"/>
            <w:tabs>
              <w:tab w:val="right" w:leader="dot" w:pos="8296"/>
            </w:tabs>
            <w:spacing w:line="360" w:lineRule="auto"/>
            <w:rPr>
              <w:rFonts w:ascii="Times New Roman" w:eastAsia="宋体" w:hAnsi="Times New Roman" w:cs="Times New Roman"/>
              <w:noProof/>
              <w:sz w:val="24"/>
              <w:szCs w:val="24"/>
            </w:rPr>
          </w:pPr>
          <w:r w:rsidRPr="0063766E">
            <w:rPr>
              <w:rFonts w:ascii="宋体" w:eastAsia="宋体" w:hAnsi="宋体"/>
              <w:sz w:val="24"/>
              <w:szCs w:val="24"/>
            </w:rPr>
            <w:fldChar w:fldCharType="begin"/>
          </w:r>
          <w:r w:rsidRPr="0063766E">
            <w:rPr>
              <w:rFonts w:ascii="宋体" w:eastAsia="宋体" w:hAnsi="宋体"/>
              <w:sz w:val="24"/>
              <w:szCs w:val="24"/>
            </w:rPr>
            <w:instrText xml:space="preserve"> TOC \o "1-3" \h \z \u </w:instrText>
          </w:r>
          <w:r w:rsidRPr="0063766E">
            <w:rPr>
              <w:rFonts w:ascii="宋体" w:eastAsia="宋体" w:hAnsi="宋体"/>
              <w:sz w:val="24"/>
              <w:szCs w:val="24"/>
            </w:rPr>
            <w:fldChar w:fldCharType="separate"/>
          </w:r>
          <w:hyperlink w:anchor="_Toc210991458" w:history="1">
            <w:r w:rsidRPr="0063766E">
              <w:rPr>
                <w:rStyle w:val="af3"/>
                <w:rFonts w:ascii="Times New Roman" w:eastAsia="宋体" w:hAnsi="Times New Roman" w:cs="Times New Roman"/>
                <w:b/>
                <w:bCs/>
                <w:noProof/>
                <w:sz w:val="24"/>
                <w:szCs w:val="24"/>
              </w:rPr>
              <w:t>前言</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_Toc210991458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2</w:t>
            </w:r>
            <w:r w:rsidRPr="0063766E">
              <w:rPr>
                <w:rFonts w:ascii="Times New Roman" w:eastAsia="宋体" w:hAnsi="Times New Roman" w:cs="Times New Roman"/>
                <w:noProof/>
                <w:webHidden/>
                <w:sz w:val="24"/>
                <w:szCs w:val="24"/>
              </w:rPr>
              <w:fldChar w:fldCharType="end"/>
            </w:r>
          </w:hyperlink>
        </w:p>
        <w:p w14:paraId="5E5A1169" w14:textId="04F100FE" w:rsidR="0063766E" w:rsidRPr="0063766E" w:rsidRDefault="0063766E" w:rsidP="0063766E">
          <w:pPr>
            <w:pStyle w:val="TOC1"/>
            <w:tabs>
              <w:tab w:val="right" w:leader="dot" w:pos="8296"/>
            </w:tabs>
            <w:spacing w:line="360" w:lineRule="auto"/>
            <w:rPr>
              <w:rFonts w:ascii="Times New Roman" w:eastAsia="宋体" w:hAnsi="Times New Roman" w:cs="Times New Roman"/>
              <w:noProof/>
              <w:sz w:val="24"/>
              <w:szCs w:val="24"/>
            </w:rPr>
          </w:pPr>
          <w:hyperlink w:anchor="_Toc210991459" w:history="1">
            <w:r w:rsidRPr="0063766E">
              <w:rPr>
                <w:rStyle w:val="af3"/>
                <w:rFonts w:ascii="Times New Roman" w:eastAsia="宋体" w:hAnsi="Times New Roman" w:cs="Times New Roman"/>
                <w:b/>
                <w:bCs/>
                <w:noProof/>
                <w:sz w:val="24"/>
                <w:szCs w:val="24"/>
              </w:rPr>
              <w:t>引言</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_Toc210991459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3</w:t>
            </w:r>
            <w:r w:rsidRPr="0063766E">
              <w:rPr>
                <w:rFonts w:ascii="Times New Roman" w:eastAsia="宋体" w:hAnsi="Times New Roman" w:cs="Times New Roman"/>
                <w:noProof/>
                <w:webHidden/>
                <w:sz w:val="24"/>
                <w:szCs w:val="24"/>
              </w:rPr>
              <w:fldChar w:fldCharType="end"/>
            </w:r>
          </w:hyperlink>
        </w:p>
        <w:p w14:paraId="405ADB43" w14:textId="1AB821D1" w:rsidR="0063766E" w:rsidRPr="0063766E" w:rsidRDefault="0063766E" w:rsidP="0063766E">
          <w:pPr>
            <w:pStyle w:val="TOC1"/>
            <w:tabs>
              <w:tab w:val="right" w:leader="dot" w:pos="8296"/>
            </w:tabs>
            <w:spacing w:line="360" w:lineRule="auto"/>
            <w:rPr>
              <w:rFonts w:ascii="Times New Roman" w:eastAsia="宋体" w:hAnsi="Times New Roman" w:cs="Times New Roman"/>
              <w:noProof/>
              <w:sz w:val="24"/>
              <w:szCs w:val="24"/>
            </w:rPr>
          </w:pPr>
          <w:hyperlink w:anchor="_Toc210991460" w:history="1">
            <w:r w:rsidRPr="0063766E">
              <w:rPr>
                <w:rStyle w:val="af3"/>
                <w:rFonts w:ascii="Times New Roman" w:eastAsia="宋体" w:hAnsi="Times New Roman" w:cs="Times New Roman"/>
                <w:b/>
                <w:bCs/>
                <w:noProof/>
                <w:sz w:val="24"/>
                <w:szCs w:val="24"/>
              </w:rPr>
              <w:t xml:space="preserve">1 </w:t>
            </w:r>
            <w:r w:rsidRPr="0063766E">
              <w:rPr>
                <w:rStyle w:val="af3"/>
                <w:rFonts w:ascii="Times New Roman" w:eastAsia="宋体" w:hAnsi="Times New Roman" w:cs="Times New Roman"/>
                <w:b/>
                <w:bCs/>
                <w:noProof/>
                <w:sz w:val="24"/>
                <w:szCs w:val="24"/>
              </w:rPr>
              <w:t>范围</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_Toc210991460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4</w:t>
            </w:r>
            <w:r w:rsidRPr="0063766E">
              <w:rPr>
                <w:rFonts w:ascii="Times New Roman" w:eastAsia="宋体" w:hAnsi="Times New Roman" w:cs="Times New Roman"/>
                <w:noProof/>
                <w:webHidden/>
                <w:sz w:val="24"/>
                <w:szCs w:val="24"/>
              </w:rPr>
              <w:fldChar w:fldCharType="end"/>
            </w:r>
          </w:hyperlink>
        </w:p>
        <w:p w14:paraId="789A6550" w14:textId="78F454C5" w:rsidR="0063766E" w:rsidRPr="0063766E" w:rsidRDefault="0063766E" w:rsidP="0063766E">
          <w:pPr>
            <w:pStyle w:val="TOC1"/>
            <w:tabs>
              <w:tab w:val="right" w:leader="dot" w:pos="8296"/>
            </w:tabs>
            <w:spacing w:line="360" w:lineRule="auto"/>
            <w:rPr>
              <w:rFonts w:ascii="Times New Roman" w:eastAsia="宋体" w:hAnsi="Times New Roman" w:cs="Times New Roman"/>
              <w:noProof/>
              <w:sz w:val="24"/>
              <w:szCs w:val="24"/>
            </w:rPr>
          </w:pPr>
          <w:hyperlink w:anchor="_Toc210991461" w:history="1">
            <w:r w:rsidRPr="0063766E">
              <w:rPr>
                <w:rStyle w:val="af3"/>
                <w:rFonts w:ascii="Times New Roman" w:eastAsia="宋体" w:hAnsi="Times New Roman" w:cs="Times New Roman"/>
                <w:b/>
                <w:bCs/>
                <w:noProof/>
                <w:sz w:val="24"/>
                <w:szCs w:val="24"/>
              </w:rPr>
              <w:t xml:space="preserve">2 </w:t>
            </w:r>
            <w:r w:rsidRPr="0063766E">
              <w:rPr>
                <w:rStyle w:val="af3"/>
                <w:rFonts w:ascii="Times New Roman" w:eastAsia="宋体" w:hAnsi="Times New Roman" w:cs="Times New Roman"/>
                <w:b/>
                <w:bCs/>
                <w:noProof/>
                <w:sz w:val="24"/>
                <w:szCs w:val="24"/>
              </w:rPr>
              <w:t>规范性引用文件</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_Toc210991461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4</w:t>
            </w:r>
            <w:r w:rsidRPr="0063766E">
              <w:rPr>
                <w:rFonts w:ascii="Times New Roman" w:eastAsia="宋体" w:hAnsi="Times New Roman" w:cs="Times New Roman"/>
                <w:noProof/>
                <w:webHidden/>
                <w:sz w:val="24"/>
                <w:szCs w:val="24"/>
              </w:rPr>
              <w:fldChar w:fldCharType="end"/>
            </w:r>
          </w:hyperlink>
        </w:p>
        <w:p w14:paraId="562DB54F" w14:textId="135A4674" w:rsidR="0063766E" w:rsidRPr="0063766E" w:rsidRDefault="0063766E" w:rsidP="0063766E">
          <w:pPr>
            <w:pStyle w:val="TOC1"/>
            <w:tabs>
              <w:tab w:val="right" w:leader="dot" w:pos="8296"/>
            </w:tabs>
            <w:spacing w:line="360" w:lineRule="auto"/>
            <w:rPr>
              <w:rFonts w:ascii="Times New Roman" w:eastAsia="宋体" w:hAnsi="Times New Roman" w:cs="Times New Roman"/>
              <w:noProof/>
              <w:sz w:val="24"/>
              <w:szCs w:val="24"/>
            </w:rPr>
          </w:pPr>
          <w:hyperlink w:anchor="_Toc210991462" w:history="1">
            <w:r w:rsidRPr="0063766E">
              <w:rPr>
                <w:rStyle w:val="af3"/>
                <w:rFonts w:ascii="Times New Roman" w:eastAsia="宋体" w:hAnsi="Times New Roman" w:cs="Times New Roman"/>
                <w:b/>
                <w:bCs/>
                <w:noProof/>
                <w:sz w:val="24"/>
                <w:szCs w:val="24"/>
              </w:rPr>
              <w:t xml:space="preserve">3 </w:t>
            </w:r>
            <w:r w:rsidRPr="0063766E">
              <w:rPr>
                <w:rStyle w:val="af3"/>
                <w:rFonts w:ascii="Times New Roman" w:eastAsia="宋体" w:hAnsi="Times New Roman" w:cs="Times New Roman"/>
                <w:b/>
                <w:bCs/>
                <w:noProof/>
                <w:sz w:val="24"/>
                <w:szCs w:val="24"/>
              </w:rPr>
              <w:t>术语与定义</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_Toc210991462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4</w:t>
            </w:r>
            <w:r w:rsidRPr="0063766E">
              <w:rPr>
                <w:rFonts w:ascii="Times New Roman" w:eastAsia="宋体" w:hAnsi="Times New Roman" w:cs="Times New Roman"/>
                <w:noProof/>
                <w:webHidden/>
                <w:sz w:val="24"/>
                <w:szCs w:val="24"/>
              </w:rPr>
              <w:fldChar w:fldCharType="end"/>
            </w:r>
          </w:hyperlink>
        </w:p>
        <w:p w14:paraId="32916C4B" w14:textId="4891DAEC" w:rsidR="0063766E" w:rsidRPr="0063766E" w:rsidRDefault="0063766E" w:rsidP="0063766E">
          <w:pPr>
            <w:pStyle w:val="TOC1"/>
            <w:tabs>
              <w:tab w:val="right" w:leader="dot" w:pos="8296"/>
            </w:tabs>
            <w:spacing w:line="360" w:lineRule="auto"/>
            <w:rPr>
              <w:rFonts w:ascii="Times New Roman" w:eastAsia="宋体" w:hAnsi="Times New Roman" w:cs="Times New Roman"/>
              <w:noProof/>
              <w:sz w:val="24"/>
              <w:szCs w:val="24"/>
            </w:rPr>
          </w:pPr>
          <w:hyperlink w:anchor="_Toc210991463" w:history="1">
            <w:r w:rsidRPr="0063766E">
              <w:rPr>
                <w:rStyle w:val="af3"/>
                <w:rFonts w:ascii="Times New Roman" w:eastAsia="宋体" w:hAnsi="Times New Roman" w:cs="Times New Roman"/>
                <w:b/>
                <w:bCs/>
                <w:noProof/>
                <w:sz w:val="24"/>
                <w:szCs w:val="24"/>
              </w:rPr>
              <w:t xml:space="preserve">4 </w:t>
            </w:r>
            <w:r w:rsidRPr="0063766E">
              <w:rPr>
                <w:rStyle w:val="af3"/>
                <w:rFonts w:ascii="Times New Roman" w:eastAsia="宋体" w:hAnsi="Times New Roman" w:cs="Times New Roman"/>
                <w:b/>
                <w:bCs/>
                <w:noProof/>
                <w:sz w:val="24"/>
                <w:szCs w:val="24"/>
              </w:rPr>
              <w:t>检测原理与方法</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_Toc210991463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5</w:t>
            </w:r>
            <w:r w:rsidRPr="0063766E">
              <w:rPr>
                <w:rFonts w:ascii="Times New Roman" w:eastAsia="宋体" w:hAnsi="Times New Roman" w:cs="Times New Roman"/>
                <w:noProof/>
                <w:webHidden/>
                <w:sz w:val="24"/>
                <w:szCs w:val="24"/>
              </w:rPr>
              <w:fldChar w:fldCharType="end"/>
            </w:r>
          </w:hyperlink>
        </w:p>
        <w:p w14:paraId="0FF455DC" w14:textId="11AF1DD1" w:rsidR="0063766E" w:rsidRPr="0063766E" w:rsidRDefault="0063766E" w:rsidP="0063766E">
          <w:pPr>
            <w:pStyle w:val="TOC1"/>
            <w:tabs>
              <w:tab w:val="left" w:pos="440"/>
              <w:tab w:val="right" w:leader="dot" w:pos="8296"/>
            </w:tabs>
            <w:spacing w:line="360" w:lineRule="auto"/>
            <w:rPr>
              <w:rFonts w:ascii="Times New Roman" w:eastAsia="宋体" w:hAnsi="Times New Roman" w:cs="Times New Roman"/>
              <w:noProof/>
              <w:sz w:val="24"/>
              <w:szCs w:val="24"/>
            </w:rPr>
          </w:pPr>
          <w:hyperlink w:anchor="_Toc210991464" w:history="1">
            <w:r w:rsidRPr="0063766E">
              <w:rPr>
                <w:rStyle w:val="af3"/>
                <w:rFonts w:ascii="Times New Roman" w:eastAsia="宋体" w:hAnsi="Times New Roman" w:cs="Times New Roman"/>
                <w:b/>
                <w:bCs/>
                <w:noProof/>
                <w:sz w:val="24"/>
                <w:szCs w:val="24"/>
              </w:rPr>
              <w:t>5</w:t>
            </w:r>
            <w:r w:rsidRPr="0063766E">
              <w:rPr>
                <w:rFonts w:ascii="Times New Roman" w:eastAsia="宋体" w:hAnsi="Times New Roman" w:cs="Times New Roman"/>
                <w:noProof/>
                <w:sz w:val="24"/>
                <w:szCs w:val="24"/>
              </w:rPr>
              <w:tab/>
            </w:r>
            <w:r w:rsidRPr="0063766E">
              <w:rPr>
                <w:rStyle w:val="af3"/>
                <w:rFonts w:ascii="Times New Roman" w:eastAsia="宋体" w:hAnsi="Times New Roman" w:cs="Times New Roman"/>
                <w:b/>
                <w:bCs/>
                <w:noProof/>
                <w:sz w:val="24"/>
                <w:szCs w:val="24"/>
              </w:rPr>
              <w:t>性能验证</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_Toc210991464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6</w:t>
            </w:r>
            <w:r w:rsidRPr="0063766E">
              <w:rPr>
                <w:rFonts w:ascii="Times New Roman" w:eastAsia="宋体" w:hAnsi="Times New Roman" w:cs="Times New Roman"/>
                <w:noProof/>
                <w:webHidden/>
                <w:sz w:val="24"/>
                <w:szCs w:val="24"/>
              </w:rPr>
              <w:fldChar w:fldCharType="end"/>
            </w:r>
          </w:hyperlink>
        </w:p>
        <w:p w14:paraId="2B8E9FE1" w14:textId="3C54A68B" w:rsidR="0063766E" w:rsidRPr="0063766E" w:rsidRDefault="0063766E" w:rsidP="0063766E">
          <w:pPr>
            <w:pStyle w:val="TOC1"/>
            <w:tabs>
              <w:tab w:val="right" w:leader="dot" w:pos="8296"/>
            </w:tabs>
            <w:spacing w:line="360" w:lineRule="auto"/>
            <w:rPr>
              <w:rFonts w:ascii="Times New Roman" w:eastAsia="宋体" w:hAnsi="Times New Roman" w:cs="Times New Roman"/>
              <w:noProof/>
              <w:sz w:val="24"/>
              <w:szCs w:val="24"/>
            </w:rPr>
          </w:pPr>
          <w:hyperlink w:anchor="_Toc210991465" w:history="1">
            <w:r w:rsidRPr="0063766E">
              <w:rPr>
                <w:rStyle w:val="af3"/>
                <w:rFonts w:ascii="Times New Roman" w:eastAsia="宋体" w:hAnsi="Times New Roman" w:cs="Times New Roman"/>
                <w:b/>
                <w:bCs/>
                <w:noProof/>
                <w:sz w:val="24"/>
                <w:szCs w:val="24"/>
              </w:rPr>
              <w:t xml:space="preserve">6 </w:t>
            </w:r>
            <w:r w:rsidRPr="0063766E">
              <w:rPr>
                <w:rStyle w:val="af3"/>
                <w:rFonts w:ascii="Times New Roman" w:eastAsia="宋体" w:hAnsi="Times New Roman" w:cs="Times New Roman"/>
                <w:b/>
                <w:bCs/>
                <w:noProof/>
                <w:sz w:val="24"/>
                <w:szCs w:val="24"/>
              </w:rPr>
              <w:t>检验前过程</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_Toc210991465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7</w:t>
            </w:r>
            <w:r w:rsidRPr="0063766E">
              <w:rPr>
                <w:rFonts w:ascii="Times New Roman" w:eastAsia="宋体" w:hAnsi="Times New Roman" w:cs="Times New Roman"/>
                <w:noProof/>
                <w:webHidden/>
                <w:sz w:val="24"/>
                <w:szCs w:val="24"/>
              </w:rPr>
              <w:fldChar w:fldCharType="end"/>
            </w:r>
          </w:hyperlink>
        </w:p>
        <w:p w14:paraId="1998551B" w14:textId="001511FC" w:rsidR="0063766E" w:rsidRPr="0063766E" w:rsidRDefault="0063766E" w:rsidP="0063766E">
          <w:pPr>
            <w:pStyle w:val="TOC1"/>
            <w:tabs>
              <w:tab w:val="right" w:leader="dot" w:pos="8296"/>
            </w:tabs>
            <w:spacing w:line="360" w:lineRule="auto"/>
            <w:rPr>
              <w:rFonts w:ascii="Times New Roman" w:eastAsia="宋体" w:hAnsi="Times New Roman" w:cs="Times New Roman"/>
              <w:noProof/>
              <w:sz w:val="24"/>
              <w:szCs w:val="24"/>
            </w:rPr>
          </w:pPr>
          <w:hyperlink w:anchor="_Toc210991466" w:history="1">
            <w:r w:rsidRPr="0063766E">
              <w:rPr>
                <w:rStyle w:val="af3"/>
                <w:rFonts w:ascii="Times New Roman" w:eastAsia="宋体" w:hAnsi="Times New Roman" w:cs="Times New Roman"/>
                <w:b/>
                <w:bCs/>
                <w:noProof/>
                <w:sz w:val="24"/>
                <w:szCs w:val="24"/>
              </w:rPr>
              <w:t xml:space="preserve">7 </w:t>
            </w:r>
            <w:r w:rsidRPr="0063766E">
              <w:rPr>
                <w:rStyle w:val="af3"/>
                <w:rFonts w:ascii="Times New Roman" w:eastAsia="宋体" w:hAnsi="Times New Roman" w:cs="Times New Roman"/>
                <w:b/>
                <w:bCs/>
                <w:noProof/>
                <w:sz w:val="24"/>
                <w:szCs w:val="24"/>
              </w:rPr>
              <w:t>检验中过程</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_Toc210991466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7</w:t>
            </w:r>
            <w:r w:rsidRPr="0063766E">
              <w:rPr>
                <w:rFonts w:ascii="Times New Roman" w:eastAsia="宋体" w:hAnsi="Times New Roman" w:cs="Times New Roman"/>
                <w:noProof/>
                <w:webHidden/>
                <w:sz w:val="24"/>
                <w:szCs w:val="24"/>
              </w:rPr>
              <w:fldChar w:fldCharType="end"/>
            </w:r>
          </w:hyperlink>
        </w:p>
        <w:p w14:paraId="0405A289" w14:textId="70A341B0" w:rsidR="0063766E" w:rsidRPr="0063766E" w:rsidRDefault="0063766E" w:rsidP="0063766E">
          <w:pPr>
            <w:pStyle w:val="TOC1"/>
            <w:tabs>
              <w:tab w:val="right" w:leader="dot" w:pos="8296"/>
            </w:tabs>
            <w:spacing w:line="360" w:lineRule="auto"/>
            <w:rPr>
              <w:rFonts w:ascii="Times New Roman" w:eastAsia="宋体" w:hAnsi="Times New Roman" w:cs="Times New Roman"/>
              <w:noProof/>
              <w:sz w:val="24"/>
              <w:szCs w:val="24"/>
            </w:rPr>
          </w:pPr>
          <w:hyperlink w:anchor="_Toc210991467" w:history="1">
            <w:r w:rsidRPr="0063766E">
              <w:rPr>
                <w:rStyle w:val="af3"/>
                <w:rFonts w:ascii="Times New Roman" w:eastAsia="宋体" w:hAnsi="Times New Roman" w:cs="Times New Roman"/>
                <w:b/>
                <w:bCs/>
                <w:noProof/>
                <w:sz w:val="24"/>
                <w:szCs w:val="24"/>
              </w:rPr>
              <w:t xml:space="preserve">8 </w:t>
            </w:r>
            <w:r w:rsidRPr="0063766E">
              <w:rPr>
                <w:rStyle w:val="af3"/>
                <w:rFonts w:ascii="Times New Roman" w:eastAsia="宋体" w:hAnsi="Times New Roman" w:cs="Times New Roman"/>
                <w:b/>
                <w:bCs/>
                <w:noProof/>
                <w:sz w:val="24"/>
                <w:szCs w:val="24"/>
              </w:rPr>
              <w:t>检验后过程</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_Toc210991467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9</w:t>
            </w:r>
            <w:r w:rsidRPr="0063766E">
              <w:rPr>
                <w:rFonts w:ascii="Times New Roman" w:eastAsia="宋体" w:hAnsi="Times New Roman" w:cs="Times New Roman"/>
                <w:noProof/>
                <w:webHidden/>
                <w:sz w:val="24"/>
                <w:szCs w:val="24"/>
              </w:rPr>
              <w:fldChar w:fldCharType="end"/>
            </w:r>
          </w:hyperlink>
        </w:p>
        <w:p w14:paraId="67391E4F" w14:textId="626AD938" w:rsidR="0063766E" w:rsidRPr="0063766E" w:rsidRDefault="0063766E" w:rsidP="0063766E">
          <w:pPr>
            <w:pStyle w:val="TOC1"/>
            <w:tabs>
              <w:tab w:val="right" w:leader="dot" w:pos="8296"/>
            </w:tabs>
            <w:spacing w:line="360" w:lineRule="auto"/>
            <w:rPr>
              <w:rFonts w:ascii="Times New Roman" w:eastAsia="宋体" w:hAnsi="Times New Roman" w:cs="Times New Roman"/>
              <w:noProof/>
              <w:sz w:val="24"/>
              <w:szCs w:val="24"/>
            </w:rPr>
          </w:pPr>
          <w:hyperlink w:anchor="_Toc210991468" w:history="1">
            <w:r w:rsidRPr="0063766E">
              <w:rPr>
                <w:rStyle w:val="af3"/>
                <w:rFonts w:ascii="Times New Roman" w:eastAsia="宋体" w:hAnsi="Times New Roman" w:cs="Times New Roman"/>
                <w:b/>
                <w:bCs/>
                <w:noProof/>
                <w:sz w:val="24"/>
                <w:szCs w:val="24"/>
              </w:rPr>
              <w:t xml:space="preserve">9. </w:t>
            </w:r>
            <w:r w:rsidRPr="0063766E">
              <w:rPr>
                <w:rStyle w:val="af3"/>
                <w:rFonts w:ascii="Times New Roman" w:eastAsia="宋体" w:hAnsi="Times New Roman" w:cs="Times New Roman"/>
                <w:b/>
                <w:bCs/>
                <w:noProof/>
                <w:sz w:val="24"/>
                <w:szCs w:val="24"/>
              </w:rPr>
              <w:t>结语与展望</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_Toc210991468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10</w:t>
            </w:r>
            <w:r w:rsidRPr="0063766E">
              <w:rPr>
                <w:rFonts w:ascii="Times New Roman" w:eastAsia="宋体" w:hAnsi="Times New Roman" w:cs="Times New Roman"/>
                <w:noProof/>
                <w:webHidden/>
                <w:sz w:val="24"/>
                <w:szCs w:val="24"/>
              </w:rPr>
              <w:fldChar w:fldCharType="end"/>
            </w:r>
          </w:hyperlink>
        </w:p>
        <w:p w14:paraId="154CB3EA" w14:textId="290B8EBF" w:rsidR="0063766E" w:rsidRPr="0063766E" w:rsidRDefault="0063766E" w:rsidP="0063766E">
          <w:pPr>
            <w:pStyle w:val="TOC1"/>
            <w:tabs>
              <w:tab w:val="right" w:leader="dot" w:pos="8296"/>
            </w:tabs>
            <w:spacing w:line="360" w:lineRule="auto"/>
            <w:rPr>
              <w:rFonts w:ascii="Times New Roman" w:eastAsia="宋体" w:hAnsi="Times New Roman" w:cs="Times New Roman"/>
              <w:noProof/>
              <w:sz w:val="24"/>
              <w:szCs w:val="24"/>
            </w:rPr>
          </w:pPr>
          <w:hyperlink w:anchor="_Toc210991469" w:history="1">
            <w:r w:rsidRPr="0063766E">
              <w:rPr>
                <w:rStyle w:val="af3"/>
                <w:rFonts w:ascii="Times New Roman" w:eastAsia="宋体" w:hAnsi="Times New Roman" w:cs="Times New Roman"/>
                <w:b/>
                <w:bCs/>
                <w:noProof/>
                <w:sz w:val="24"/>
                <w:szCs w:val="24"/>
              </w:rPr>
              <w:t xml:space="preserve">10. </w:t>
            </w:r>
            <w:r w:rsidRPr="0063766E">
              <w:rPr>
                <w:rStyle w:val="af3"/>
                <w:rFonts w:ascii="Times New Roman" w:eastAsia="宋体" w:hAnsi="Times New Roman" w:cs="Times New Roman"/>
                <w:b/>
                <w:bCs/>
                <w:noProof/>
                <w:sz w:val="24"/>
                <w:szCs w:val="24"/>
              </w:rPr>
              <w:t>参考文献</w:t>
            </w:r>
            <w:r w:rsidRPr="0063766E">
              <w:rPr>
                <w:rFonts w:ascii="Times New Roman" w:eastAsia="宋体" w:hAnsi="Times New Roman" w:cs="Times New Roman"/>
                <w:noProof/>
                <w:webHidden/>
                <w:sz w:val="24"/>
                <w:szCs w:val="24"/>
              </w:rPr>
              <w:tab/>
            </w:r>
            <w:r w:rsidRPr="0063766E">
              <w:rPr>
                <w:rFonts w:ascii="Times New Roman" w:eastAsia="宋体" w:hAnsi="Times New Roman" w:cs="Times New Roman"/>
                <w:noProof/>
                <w:webHidden/>
                <w:sz w:val="24"/>
                <w:szCs w:val="24"/>
              </w:rPr>
              <w:fldChar w:fldCharType="begin"/>
            </w:r>
            <w:r w:rsidRPr="0063766E">
              <w:rPr>
                <w:rFonts w:ascii="Times New Roman" w:eastAsia="宋体" w:hAnsi="Times New Roman" w:cs="Times New Roman"/>
                <w:noProof/>
                <w:webHidden/>
                <w:sz w:val="24"/>
                <w:szCs w:val="24"/>
              </w:rPr>
              <w:instrText xml:space="preserve"> PAGEREF _Toc210991469 \h </w:instrText>
            </w:r>
            <w:r w:rsidRPr="0063766E">
              <w:rPr>
                <w:rFonts w:ascii="Times New Roman" w:eastAsia="宋体" w:hAnsi="Times New Roman" w:cs="Times New Roman"/>
                <w:noProof/>
                <w:webHidden/>
                <w:sz w:val="24"/>
                <w:szCs w:val="24"/>
              </w:rPr>
            </w:r>
            <w:r w:rsidRPr="0063766E">
              <w:rPr>
                <w:rFonts w:ascii="Times New Roman" w:eastAsia="宋体" w:hAnsi="Times New Roman" w:cs="Times New Roman"/>
                <w:noProof/>
                <w:webHidden/>
                <w:sz w:val="24"/>
                <w:szCs w:val="24"/>
              </w:rPr>
              <w:fldChar w:fldCharType="separate"/>
            </w:r>
            <w:r w:rsidR="00202F48">
              <w:rPr>
                <w:rFonts w:ascii="Times New Roman" w:eastAsia="宋体" w:hAnsi="Times New Roman" w:cs="Times New Roman"/>
                <w:noProof/>
                <w:webHidden/>
                <w:sz w:val="24"/>
                <w:szCs w:val="24"/>
              </w:rPr>
              <w:t>10</w:t>
            </w:r>
            <w:r w:rsidRPr="0063766E">
              <w:rPr>
                <w:rFonts w:ascii="Times New Roman" w:eastAsia="宋体" w:hAnsi="Times New Roman" w:cs="Times New Roman"/>
                <w:noProof/>
                <w:webHidden/>
                <w:sz w:val="24"/>
                <w:szCs w:val="24"/>
              </w:rPr>
              <w:fldChar w:fldCharType="end"/>
            </w:r>
          </w:hyperlink>
        </w:p>
        <w:p w14:paraId="2340409A" w14:textId="6B88D30B" w:rsidR="0063766E" w:rsidRDefault="0063766E" w:rsidP="0063766E">
          <w:pPr>
            <w:spacing w:line="360" w:lineRule="auto"/>
            <w:rPr>
              <w:rFonts w:hint="eastAsia"/>
            </w:rPr>
          </w:pPr>
          <w:r w:rsidRPr="0063766E">
            <w:rPr>
              <w:rFonts w:ascii="宋体" w:eastAsia="宋体" w:hAnsi="宋体"/>
              <w:b/>
              <w:bCs/>
              <w:sz w:val="24"/>
              <w:szCs w:val="24"/>
              <w:lang w:val="zh-CN"/>
            </w:rPr>
            <w:fldChar w:fldCharType="end"/>
          </w:r>
        </w:p>
      </w:sdtContent>
    </w:sdt>
    <w:p w14:paraId="6225936A" w14:textId="77777777" w:rsidR="00790FDA" w:rsidRDefault="00790FDA" w:rsidP="00FE251A">
      <w:pPr>
        <w:spacing w:line="360" w:lineRule="auto"/>
        <w:jc w:val="center"/>
        <w:rPr>
          <w:rFonts w:ascii="Times New Roman" w:eastAsia="宋体" w:hAnsi="Times New Roman" w:cs="Times New Roman"/>
          <w:b/>
          <w:bCs/>
          <w:color w:val="EE0000"/>
          <w:sz w:val="28"/>
          <w:szCs w:val="28"/>
        </w:rPr>
      </w:pPr>
    </w:p>
    <w:p w14:paraId="336E3403" w14:textId="77777777" w:rsidR="00790FDA" w:rsidRDefault="00790FDA" w:rsidP="00FE251A">
      <w:pPr>
        <w:spacing w:line="360" w:lineRule="auto"/>
        <w:jc w:val="center"/>
        <w:rPr>
          <w:rFonts w:ascii="Times New Roman" w:eastAsia="宋体" w:hAnsi="Times New Roman" w:cs="Times New Roman"/>
          <w:b/>
          <w:bCs/>
          <w:color w:val="EE0000"/>
          <w:sz w:val="28"/>
          <w:szCs w:val="28"/>
        </w:rPr>
      </w:pPr>
    </w:p>
    <w:p w14:paraId="71661592" w14:textId="77777777" w:rsidR="00790FDA" w:rsidRDefault="00790FDA" w:rsidP="00FE251A">
      <w:pPr>
        <w:spacing w:line="360" w:lineRule="auto"/>
        <w:jc w:val="center"/>
        <w:rPr>
          <w:rFonts w:ascii="Times New Roman" w:eastAsia="宋体" w:hAnsi="Times New Roman" w:cs="Times New Roman"/>
          <w:b/>
          <w:bCs/>
          <w:color w:val="EE0000"/>
          <w:sz w:val="28"/>
          <w:szCs w:val="28"/>
        </w:rPr>
      </w:pPr>
    </w:p>
    <w:p w14:paraId="34D54173" w14:textId="77777777" w:rsidR="00790FDA" w:rsidRDefault="00790FDA" w:rsidP="00FE251A">
      <w:pPr>
        <w:spacing w:line="360" w:lineRule="auto"/>
        <w:jc w:val="center"/>
        <w:rPr>
          <w:rFonts w:ascii="Times New Roman" w:eastAsia="宋体" w:hAnsi="Times New Roman" w:cs="Times New Roman"/>
          <w:b/>
          <w:bCs/>
          <w:color w:val="EE0000"/>
          <w:sz w:val="28"/>
          <w:szCs w:val="28"/>
        </w:rPr>
      </w:pPr>
    </w:p>
    <w:p w14:paraId="53CBD50A" w14:textId="77777777" w:rsidR="00790FDA" w:rsidRDefault="00790FDA" w:rsidP="00FE251A">
      <w:pPr>
        <w:spacing w:line="360" w:lineRule="auto"/>
        <w:jc w:val="center"/>
        <w:rPr>
          <w:rFonts w:ascii="Times New Roman" w:eastAsia="宋体" w:hAnsi="Times New Roman" w:cs="Times New Roman"/>
          <w:b/>
          <w:bCs/>
          <w:color w:val="EE0000"/>
          <w:sz w:val="28"/>
          <w:szCs w:val="28"/>
        </w:rPr>
      </w:pPr>
    </w:p>
    <w:p w14:paraId="45CD637D" w14:textId="77777777" w:rsidR="00790FDA" w:rsidRDefault="00790FDA" w:rsidP="00FE251A">
      <w:pPr>
        <w:spacing w:line="360" w:lineRule="auto"/>
        <w:jc w:val="center"/>
        <w:rPr>
          <w:rFonts w:ascii="Times New Roman" w:eastAsia="宋体" w:hAnsi="Times New Roman" w:cs="Times New Roman"/>
          <w:b/>
          <w:bCs/>
          <w:color w:val="EE0000"/>
          <w:sz w:val="28"/>
          <w:szCs w:val="28"/>
        </w:rPr>
      </w:pPr>
    </w:p>
    <w:p w14:paraId="70E51D7E" w14:textId="77777777" w:rsidR="00790FDA" w:rsidRDefault="00790FDA" w:rsidP="00FE251A">
      <w:pPr>
        <w:spacing w:line="360" w:lineRule="auto"/>
        <w:jc w:val="center"/>
        <w:rPr>
          <w:rFonts w:ascii="Times New Roman" w:eastAsia="宋体" w:hAnsi="Times New Roman" w:cs="Times New Roman"/>
          <w:b/>
          <w:bCs/>
          <w:color w:val="EE0000"/>
          <w:sz w:val="28"/>
          <w:szCs w:val="28"/>
        </w:rPr>
      </w:pPr>
    </w:p>
    <w:p w14:paraId="1B047267" w14:textId="77777777" w:rsidR="00790FDA" w:rsidRDefault="00790FDA" w:rsidP="00FE251A">
      <w:pPr>
        <w:spacing w:line="360" w:lineRule="auto"/>
        <w:jc w:val="center"/>
        <w:rPr>
          <w:rFonts w:ascii="Times New Roman" w:eastAsia="宋体" w:hAnsi="Times New Roman" w:cs="Times New Roman"/>
          <w:b/>
          <w:bCs/>
          <w:color w:val="EE0000"/>
          <w:sz w:val="28"/>
          <w:szCs w:val="28"/>
        </w:rPr>
      </w:pPr>
    </w:p>
    <w:p w14:paraId="2F938DEC" w14:textId="77777777" w:rsidR="00790FDA" w:rsidRDefault="00790FDA" w:rsidP="00FE251A">
      <w:pPr>
        <w:spacing w:line="360" w:lineRule="auto"/>
        <w:jc w:val="center"/>
        <w:rPr>
          <w:rFonts w:ascii="Times New Roman" w:eastAsia="宋体" w:hAnsi="Times New Roman" w:cs="Times New Roman"/>
          <w:b/>
          <w:bCs/>
          <w:color w:val="EE0000"/>
          <w:sz w:val="28"/>
          <w:szCs w:val="28"/>
        </w:rPr>
      </w:pPr>
    </w:p>
    <w:p w14:paraId="5688DCAE" w14:textId="77777777" w:rsidR="00790FDA" w:rsidRPr="007133CD" w:rsidRDefault="00790FDA" w:rsidP="0063766E">
      <w:pPr>
        <w:spacing w:line="360" w:lineRule="auto"/>
        <w:rPr>
          <w:rFonts w:ascii="Times New Roman" w:eastAsia="宋体" w:hAnsi="Times New Roman" w:cs="Times New Roman"/>
          <w:b/>
          <w:bCs/>
          <w:color w:val="EE0000"/>
          <w:sz w:val="28"/>
          <w:szCs w:val="28"/>
        </w:rPr>
      </w:pPr>
    </w:p>
    <w:p w14:paraId="73D25DBA" w14:textId="77777777" w:rsidR="00FE251A" w:rsidRPr="00790FDA" w:rsidRDefault="00FE251A" w:rsidP="0063766E">
      <w:pPr>
        <w:pStyle w:val="1"/>
        <w:jc w:val="center"/>
        <w:rPr>
          <w:rFonts w:ascii="Times New Roman" w:eastAsia="宋体" w:hAnsi="Times New Roman" w:cs="Times New Roman"/>
          <w:b/>
          <w:bCs/>
          <w:color w:val="auto"/>
          <w:sz w:val="28"/>
          <w:szCs w:val="28"/>
        </w:rPr>
      </w:pPr>
      <w:bookmarkStart w:id="0" w:name="_Toc210991458"/>
      <w:r w:rsidRPr="00790FDA">
        <w:rPr>
          <w:rFonts w:ascii="Times New Roman" w:eastAsia="宋体" w:hAnsi="Times New Roman" w:cs="Times New Roman"/>
          <w:b/>
          <w:bCs/>
          <w:color w:val="auto"/>
          <w:sz w:val="28"/>
          <w:szCs w:val="28"/>
        </w:rPr>
        <w:lastRenderedPageBreak/>
        <w:t>前言</w:t>
      </w:r>
      <w:bookmarkEnd w:id="0"/>
    </w:p>
    <w:p w14:paraId="68629178" w14:textId="77777777" w:rsidR="00FE251A" w:rsidRDefault="00FE251A" w:rsidP="00FE251A">
      <w:pPr>
        <w:widowControl/>
        <w:spacing w:line="360" w:lineRule="auto"/>
        <w:ind w:firstLine="420"/>
        <w:jc w:val="left"/>
        <w:rPr>
          <w:rFonts w:ascii="Times New Roman" w:eastAsia="宋体" w:hAnsi="Times New Roman" w:cs="Times New Roman"/>
          <w:color w:val="000000"/>
          <w:kern w:val="0"/>
          <w:sz w:val="24"/>
          <w:szCs w:val="24"/>
          <w:lang w:bidi="ar"/>
        </w:rPr>
      </w:pPr>
      <w:r w:rsidRPr="00604F63">
        <w:rPr>
          <w:rFonts w:ascii="Times New Roman" w:eastAsia="宋体" w:hAnsi="Times New Roman" w:cs="Times New Roman"/>
          <w:color w:val="000000"/>
          <w:kern w:val="0"/>
          <w:sz w:val="24"/>
          <w:szCs w:val="24"/>
          <w:lang w:bidi="ar"/>
        </w:rPr>
        <w:t>本</w:t>
      </w:r>
      <w:r>
        <w:rPr>
          <w:rFonts w:ascii="Times New Roman" w:eastAsia="宋体" w:hAnsi="Times New Roman" w:cs="Times New Roman" w:hint="eastAsia"/>
          <w:color w:val="000000"/>
          <w:kern w:val="0"/>
          <w:sz w:val="24"/>
          <w:szCs w:val="24"/>
          <w:lang w:bidi="ar"/>
        </w:rPr>
        <w:t>文件</w:t>
      </w:r>
      <w:r w:rsidRPr="00604F63">
        <w:rPr>
          <w:rFonts w:ascii="Times New Roman" w:eastAsia="宋体" w:hAnsi="Times New Roman" w:cs="Times New Roman"/>
          <w:color w:val="000000"/>
          <w:kern w:val="0"/>
          <w:sz w:val="24"/>
          <w:szCs w:val="24"/>
          <w:lang w:bidi="ar"/>
        </w:rPr>
        <w:t>由</w:t>
      </w:r>
      <w:r w:rsidRPr="007133CD">
        <w:rPr>
          <w:rFonts w:ascii="Times New Roman" w:eastAsia="宋体" w:hAnsi="Times New Roman" w:cs="Times New Roman"/>
          <w:color w:val="000000"/>
          <w:kern w:val="0"/>
          <w:sz w:val="24"/>
          <w:szCs w:val="24"/>
          <w:lang w:bidi="ar"/>
        </w:rPr>
        <w:t>按照</w:t>
      </w:r>
      <w:r w:rsidRPr="007133CD">
        <w:rPr>
          <w:rFonts w:ascii="Times New Roman" w:eastAsia="宋体" w:hAnsi="Times New Roman" w:cs="Times New Roman"/>
          <w:color w:val="000000"/>
          <w:kern w:val="0"/>
          <w:sz w:val="24"/>
          <w:szCs w:val="24"/>
          <w:lang w:bidi="ar"/>
        </w:rPr>
        <w:t xml:space="preserve"> GB/T 1.1—2020</w:t>
      </w:r>
      <w:r w:rsidRPr="007133CD">
        <w:rPr>
          <w:rFonts w:ascii="Times New Roman" w:eastAsia="宋体" w:hAnsi="Times New Roman" w:cs="Times New Roman"/>
          <w:color w:val="000000"/>
          <w:kern w:val="0"/>
          <w:sz w:val="24"/>
          <w:szCs w:val="24"/>
          <w:lang w:bidi="ar"/>
        </w:rPr>
        <w:t>《标准化工作导则</w:t>
      </w:r>
      <w:r w:rsidRPr="007133CD">
        <w:rPr>
          <w:rFonts w:ascii="Times New Roman" w:eastAsia="宋体" w:hAnsi="Times New Roman" w:cs="Times New Roman"/>
          <w:color w:val="000000"/>
          <w:kern w:val="0"/>
          <w:sz w:val="24"/>
          <w:szCs w:val="24"/>
          <w:lang w:bidi="ar"/>
        </w:rPr>
        <w:t xml:space="preserve"> </w:t>
      </w:r>
      <w:r w:rsidRPr="007133CD">
        <w:rPr>
          <w:rFonts w:ascii="Times New Roman" w:eastAsia="宋体" w:hAnsi="Times New Roman" w:cs="Times New Roman"/>
          <w:color w:val="000000"/>
          <w:kern w:val="0"/>
          <w:sz w:val="24"/>
          <w:szCs w:val="24"/>
          <w:lang w:bidi="ar"/>
        </w:rPr>
        <w:t>第</w:t>
      </w:r>
      <w:r w:rsidRPr="007133CD">
        <w:rPr>
          <w:rFonts w:ascii="Times New Roman" w:eastAsia="宋体" w:hAnsi="Times New Roman" w:cs="Times New Roman"/>
          <w:color w:val="000000"/>
          <w:kern w:val="0"/>
          <w:sz w:val="24"/>
          <w:szCs w:val="24"/>
          <w:lang w:bidi="ar"/>
        </w:rPr>
        <w:t xml:space="preserve"> 1 </w:t>
      </w:r>
      <w:r w:rsidRPr="007133CD">
        <w:rPr>
          <w:rFonts w:ascii="Times New Roman" w:eastAsia="宋体" w:hAnsi="Times New Roman" w:cs="Times New Roman"/>
          <w:color w:val="000000"/>
          <w:kern w:val="0"/>
          <w:sz w:val="24"/>
          <w:szCs w:val="24"/>
          <w:lang w:bidi="ar"/>
        </w:rPr>
        <w:t>部分：标准化文件的结构和起草规则》的规定起草。</w:t>
      </w:r>
    </w:p>
    <w:p w14:paraId="28738DD3" w14:textId="77777777" w:rsidR="00FE251A" w:rsidRDefault="00FE251A" w:rsidP="00FE251A">
      <w:pPr>
        <w:spacing w:line="360" w:lineRule="auto"/>
        <w:ind w:right="880" w:firstLine="420"/>
        <w:rPr>
          <w:rFonts w:ascii="Times New Roman" w:eastAsia="宋体" w:hAnsi="Times New Roman" w:cs="Times New Roman"/>
          <w:color w:val="000000"/>
          <w:kern w:val="0"/>
          <w:sz w:val="24"/>
          <w:szCs w:val="24"/>
          <w:lang w:bidi="ar"/>
        </w:rPr>
      </w:pPr>
      <w:r>
        <w:rPr>
          <w:rFonts w:ascii="Times New Roman" w:eastAsia="黑体" w:hAnsi="Times New Roman" w:cs="Times New Roman"/>
          <w:sz w:val="22"/>
          <w:szCs w:val="28"/>
        </w:rPr>
        <w:t>T/BJYXH XXXX-XXXX</w:t>
      </w:r>
      <w:r>
        <w:rPr>
          <w:rFonts w:ascii="Times New Roman" w:eastAsia="宋体" w:hAnsi="Times New Roman" w:cs="Times New Roman" w:hint="eastAsia"/>
          <w:color w:val="000000"/>
          <w:kern w:val="0"/>
          <w:sz w:val="24"/>
          <w:szCs w:val="24"/>
          <w:lang w:bidi="ar"/>
        </w:rPr>
        <w:t>《抗磷脂抗体谱检测标准》现分为以下</w:t>
      </w:r>
      <w:r>
        <w:rPr>
          <w:rFonts w:ascii="Times New Roman" w:eastAsia="宋体" w:hAnsi="Times New Roman" w:cs="Times New Roman" w:hint="eastAsia"/>
          <w:color w:val="000000"/>
          <w:kern w:val="0"/>
          <w:sz w:val="24"/>
          <w:szCs w:val="24"/>
          <w:lang w:bidi="ar"/>
        </w:rPr>
        <w:t>2</w:t>
      </w:r>
      <w:r>
        <w:rPr>
          <w:rFonts w:ascii="Times New Roman" w:eastAsia="宋体" w:hAnsi="Times New Roman" w:cs="Times New Roman" w:hint="eastAsia"/>
          <w:color w:val="000000"/>
          <w:kern w:val="0"/>
          <w:sz w:val="24"/>
          <w:szCs w:val="24"/>
          <w:lang w:bidi="ar"/>
        </w:rPr>
        <w:t>个部分：——第</w:t>
      </w:r>
      <w:r>
        <w:rPr>
          <w:rFonts w:ascii="Times New Roman" w:eastAsia="宋体" w:hAnsi="Times New Roman" w:cs="Times New Roman" w:hint="eastAsia"/>
          <w:color w:val="000000"/>
          <w:kern w:val="0"/>
          <w:sz w:val="24"/>
          <w:szCs w:val="24"/>
          <w:lang w:bidi="ar"/>
        </w:rPr>
        <w:t>1</w:t>
      </w:r>
      <w:r>
        <w:rPr>
          <w:rFonts w:ascii="Times New Roman" w:eastAsia="宋体" w:hAnsi="Times New Roman" w:cs="Times New Roman" w:hint="eastAsia"/>
          <w:color w:val="000000"/>
          <w:kern w:val="0"/>
          <w:sz w:val="24"/>
          <w:szCs w:val="24"/>
          <w:lang w:bidi="ar"/>
        </w:rPr>
        <w:t>部分：狼疮抗凝物实验室检测标准</w:t>
      </w:r>
    </w:p>
    <w:p w14:paraId="74149A56" w14:textId="77777777" w:rsidR="00FE251A" w:rsidRPr="007133CD" w:rsidRDefault="00FE251A" w:rsidP="00FE251A">
      <w:pPr>
        <w:spacing w:line="360" w:lineRule="auto"/>
        <w:ind w:right="880" w:firstLineChars="200" w:firstLine="480"/>
        <w:rPr>
          <w:rFonts w:ascii="Times New Roman" w:eastAsia="宋体" w:hAnsi="Times New Roman" w:cs="Times New Roman"/>
          <w:color w:val="000000"/>
          <w:kern w:val="0"/>
          <w:sz w:val="24"/>
          <w:szCs w:val="24"/>
          <w:lang w:bidi="ar"/>
        </w:rPr>
      </w:pPr>
      <w:r>
        <w:rPr>
          <w:rFonts w:ascii="Times New Roman" w:eastAsia="宋体" w:hAnsi="Times New Roman" w:cs="Times New Roman" w:hint="eastAsia"/>
          <w:color w:val="000000"/>
          <w:kern w:val="0"/>
          <w:sz w:val="24"/>
          <w:szCs w:val="24"/>
          <w:lang w:bidi="ar"/>
        </w:rPr>
        <w:t>——第</w:t>
      </w:r>
      <w:r>
        <w:rPr>
          <w:rFonts w:ascii="Times New Roman" w:eastAsia="宋体" w:hAnsi="Times New Roman" w:cs="Times New Roman" w:hint="eastAsia"/>
          <w:color w:val="000000"/>
          <w:kern w:val="0"/>
          <w:sz w:val="24"/>
          <w:szCs w:val="24"/>
          <w:lang w:bidi="ar"/>
        </w:rPr>
        <w:t>2</w:t>
      </w:r>
      <w:r>
        <w:rPr>
          <w:rFonts w:ascii="Times New Roman" w:eastAsia="宋体" w:hAnsi="Times New Roman" w:cs="Times New Roman" w:hint="eastAsia"/>
          <w:color w:val="000000"/>
          <w:kern w:val="0"/>
          <w:sz w:val="24"/>
          <w:szCs w:val="24"/>
          <w:lang w:bidi="ar"/>
        </w:rPr>
        <w:t>部分：抗磷脂抗体检测标准</w:t>
      </w:r>
    </w:p>
    <w:p w14:paraId="5571C868" w14:textId="77777777" w:rsidR="00FE251A" w:rsidRDefault="00FE251A" w:rsidP="00FE251A">
      <w:pPr>
        <w:widowControl/>
        <w:spacing w:line="360" w:lineRule="auto"/>
        <w:ind w:firstLine="420"/>
        <w:jc w:val="left"/>
        <w:rPr>
          <w:rFonts w:ascii="Times New Roman" w:eastAsia="宋体" w:hAnsi="Times New Roman" w:cs="Times New Roman"/>
          <w:color w:val="000000"/>
          <w:kern w:val="0"/>
          <w:sz w:val="24"/>
          <w:szCs w:val="24"/>
          <w:lang w:bidi="ar"/>
        </w:rPr>
      </w:pPr>
      <w:r w:rsidRPr="00604F63">
        <w:rPr>
          <w:rFonts w:ascii="Times New Roman" w:eastAsia="宋体" w:hAnsi="Times New Roman" w:cs="Times New Roman"/>
          <w:color w:val="000000"/>
          <w:kern w:val="0"/>
          <w:sz w:val="24"/>
          <w:szCs w:val="24"/>
          <w:lang w:bidi="ar"/>
        </w:rPr>
        <w:t>本</w:t>
      </w:r>
      <w:r>
        <w:rPr>
          <w:rFonts w:ascii="Times New Roman" w:eastAsia="宋体" w:hAnsi="Times New Roman" w:cs="Times New Roman" w:hint="eastAsia"/>
          <w:color w:val="000000"/>
          <w:kern w:val="0"/>
          <w:sz w:val="24"/>
          <w:szCs w:val="24"/>
          <w:lang w:bidi="ar"/>
        </w:rPr>
        <w:t>文件由中国医学科学院北京协和医院提出。</w:t>
      </w:r>
    </w:p>
    <w:p w14:paraId="09221EAB" w14:textId="77777777" w:rsidR="00FE251A" w:rsidRDefault="00FE251A" w:rsidP="00FE251A">
      <w:pPr>
        <w:widowControl/>
        <w:spacing w:line="360" w:lineRule="auto"/>
        <w:ind w:firstLine="420"/>
        <w:jc w:val="left"/>
        <w:rPr>
          <w:rFonts w:ascii="Times New Roman" w:eastAsia="宋体" w:hAnsi="Times New Roman" w:cs="Times New Roman"/>
          <w:color w:val="000000"/>
          <w:kern w:val="0"/>
          <w:sz w:val="24"/>
          <w:szCs w:val="24"/>
          <w:lang w:bidi="ar"/>
        </w:rPr>
      </w:pPr>
      <w:r>
        <w:rPr>
          <w:rFonts w:ascii="Times New Roman" w:eastAsia="宋体" w:hAnsi="Times New Roman" w:cs="Times New Roman" w:hint="eastAsia"/>
          <w:color w:val="000000"/>
          <w:kern w:val="0"/>
          <w:sz w:val="24"/>
          <w:szCs w:val="24"/>
          <w:lang w:bidi="ar"/>
        </w:rPr>
        <w:t>本文件由北京医学会归口。</w:t>
      </w:r>
    </w:p>
    <w:p w14:paraId="7CFF3446" w14:textId="77777777" w:rsidR="00FE251A" w:rsidRDefault="00FE251A" w:rsidP="00FE251A">
      <w:pPr>
        <w:widowControl/>
        <w:spacing w:line="360" w:lineRule="auto"/>
        <w:ind w:firstLine="420"/>
        <w:jc w:val="left"/>
        <w:rPr>
          <w:rFonts w:ascii="Times New Roman" w:eastAsia="宋体" w:hAnsi="Times New Roman" w:cs="Times New Roman"/>
          <w:color w:val="000000"/>
          <w:kern w:val="0"/>
          <w:sz w:val="24"/>
          <w:szCs w:val="24"/>
          <w:lang w:bidi="ar"/>
        </w:rPr>
      </w:pPr>
      <w:r>
        <w:rPr>
          <w:rFonts w:ascii="Times New Roman" w:eastAsia="宋体" w:hAnsi="Times New Roman" w:cs="Times New Roman" w:hint="eastAsia"/>
          <w:color w:val="000000"/>
          <w:kern w:val="0"/>
          <w:sz w:val="24"/>
          <w:szCs w:val="24"/>
          <w:lang w:bidi="ar"/>
        </w:rPr>
        <w:t>本文件由北京医学会组织实施。</w:t>
      </w:r>
    </w:p>
    <w:p w14:paraId="65855D6F" w14:textId="456C4293" w:rsidR="00FE251A" w:rsidRPr="00747410" w:rsidRDefault="00FE251A" w:rsidP="00FE251A">
      <w:pPr>
        <w:widowControl/>
        <w:spacing w:line="360" w:lineRule="auto"/>
        <w:ind w:firstLine="420"/>
        <w:jc w:val="left"/>
        <w:rPr>
          <w:rFonts w:ascii="Times New Roman" w:eastAsia="宋体" w:hAnsi="Times New Roman" w:cs="Times New Roman"/>
          <w:kern w:val="0"/>
          <w:sz w:val="24"/>
          <w:szCs w:val="24"/>
          <w:lang w:bidi="ar"/>
        </w:rPr>
      </w:pPr>
      <w:r w:rsidRPr="00747410">
        <w:rPr>
          <w:rFonts w:ascii="Times New Roman" w:eastAsia="宋体" w:hAnsi="Times New Roman" w:cs="Times New Roman" w:hint="eastAsia"/>
          <w:kern w:val="0"/>
          <w:sz w:val="24"/>
          <w:szCs w:val="24"/>
          <w:lang w:bidi="ar"/>
        </w:rPr>
        <w:t>本文件起草单位：中国医学科学院北京协和医院</w:t>
      </w:r>
      <w:bookmarkStart w:id="1" w:name="_Hlk211502025"/>
      <w:r w:rsidR="00747410">
        <w:rPr>
          <w:rFonts w:ascii="Times New Roman" w:eastAsia="宋体" w:hAnsi="Times New Roman" w:cs="Times New Roman" w:hint="eastAsia"/>
          <w:kern w:val="0"/>
          <w:sz w:val="24"/>
          <w:szCs w:val="24"/>
          <w:lang w:bidi="ar"/>
        </w:rPr>
        <w:t>，</w:t>
      </w:r>
      <w:r w:rsidR="00E27886" w:rsidRPr="00747410">
        <w:rPr>
          <w:rFonts w:ascii="Times New Roman" w:eastAsia="宋体" w:hAnsi="Times New Roman" w:cs="Times New Roman" w:hint="eastAsia"/>
          <w:kern w:val="0"/>
          <w:sz w:val="24"/>
          <w:szCs w:val="24"/>
          <w:lang w:bidi="ar"/>
        </w:rPr>
        <w:t>北京医院</w:t>
      </w:r>
      <w:r w:rsidR="00D0415E" w:rsidRPr="00747410">
        <w:rPr>
          <w:rFonts w:ascii="Times New Roman" w:eastAsia="宋体" w:hAnsi="Times New Roman" w:cs="Times New Roman" w:hint="eastAsia"/>
          <w:kern w:val="0"/>
          <w:sz w:val="24"/>
          <w:szCs w:val="24"/>
          <w:lang w:bidi="ar"/>
        </w:rPr>
        <w:t>/</w:t>
      </w:r>
      <w:r w:rsidR="00E27886" w:rsidRPr="00747410">
        <w:rPr>
          <w:rFonts w:ascii="Times New Roman" w:eastAsia="宋体" w:hAnsi="Times New Roman" w:cs="Times New Roman" w:hint="eastAsia"/>
          <w:kern w:val="0"/>
          <w:sz w:val="24"/>
          <w:szCs w:val="24"/>
          <w:lang w:bidi="ar"/>
        </w:rPr>
        <w:t>国家卫生健康委临床检验中心</w:t>
      </w:r>
      <w:r w:rsidR="00747410">
        <w:rPr>
          <w:rFonts w:ascii="Times New Roman" w:eastAsia="宋体" w:hAnsi="Times New Roman" w:cs="Times New Roman" w:hint="eastAsia"/>
          <w:kern w:val="0"/>
          <w:sz w:val="24"/>
          <w:szCs w:val="24"/>
          <w:lang w:bidi="ar"/>
        </w:rPr>
        <w:t>，</w:t>
      </w:r>
      <w:r w:rsidR="00E27886" w:rsidRPr="00747410">
        <w:rPr>
          <w:rFonts w:ascii="Times New Roman" w:eastAsia="宋体" w:hAnsi="Times New Roman" w:cs="Times New Roman" w:hint="eastAsia"/>
          <w:kern w:val="0"/>
          <w:sz w:val="24"/>
          <w:szCs w:val="24"/>
          <w:lang w:bidi="ar"/>
        </w:rPr>
        <w:t>上海交通大学</w:t>
      </w:r>
      <w:r w:rsidR="00670FED">
        <w:rPr>
          <w:rFonts w:ascii="Times New Roman" w:eastAsia="宋体" w:hAnsi="Times New Roman" w:cs="Times New Roman" w:hint="eastAsia"/>
          <w:kern w:val="0"/>
          <w:sz w:val="24"/>
          <w:szCs w:val="24"/>
          <w:lang w:bidi="ar"/>
        </w:rPr>
        <w:t>医学院</w:t>
      </w:r>
      <w:r w:rsidR="00E27886" w:rsidRPr="00747410">
        <w:rPr>
          <w:rFonts w:ascii="Times New Roman" w:eastAsia="宋体" w:hAnsi="Times New Roman" w:cs="Times New Roman" w:hint="eastAsia"/>
          <w:kern w:val="0"/>
          <w:sz w:val="24"/>
          <w:szCs w:val="24"/>
          <w:lang w:bidi="ar"/>
        </w:rPr>
        <w:t>附属仁济医院</w:t>
      </w:r>
      <w:r w:rsidR="00747410">
        <w:rPr>
          <w:rFonts w:ascii="Times New Roman" w:eastAsia="宋体" w:hAnsi="Times New Roman" w:cs="Times New Roman" w:hint="eastAsia"/>
          <w:kern w:val="0"/>
          <w:sz w:val="24"/>
          <w:szCs w:val="24"/>
          <w:lang w:bidi="ar"/>
        </w:rPr>
        <w:t>，</w:t>
      </w:r>
      <w:r w:rsidR="00E27886" w:rsidRPr="00747410">
        <w:rPr>
          <w:rFonts w:ascii="Times New Roman" w:eastAsia="宋体" w:hAnsi="Times New Roman" w:cs="Times New Roman" w:hint="eastAsia"/>
          <w:kern w:val="0"/>
          <w:sz w:val="24"/>
          <w:szCs w:val="24"/>
          <w:lang w:bidi="ar"/>
        </w:rPr>
        <w:t>山西医科大学附属第二医院、中国医科大学附属盛京医院</w:t>
      </w:r>
      <w:r w:rsidR="00747410">
        <w:rPr>
          <w:rFonts w:ascii="Times New Roman" w:eastAsia="宋体" w:hAnsi="Times New Roman" w:cs="Times New Roman" w:hint="eastAsia"/>
          <w:kern w:val="0"/>
          <w:sz w:val="24"/>
          <w:szCs w:val="24"/>
          <w:lang w:bidi="ar"/>
        </w:rPr>
        <w:t>，</w:t>
      </w:r>
      <w:r w:rsidR="00E27886" w:rsidRPr="00747410">
        <w:rPr>
          <w:rFonts w:ascii="Times New Roman" w:eastAsia="宋体" w:hAnsi="Times New Roman" w:cs="Times New Roman" w:hint="eastAsia"/>
          <w:kern w:val="0"/>
          <w:sz w:val="24"/>
          <w:szCs w:val="24"/>
          <w:lang w:bidi="ar"/>
        </w:rPr>
        <w:t>北京大学第三医院</w:t>
      </w:r>
      <w:r w:rsidR="00747410">
        <w:rPr>
          <w:rFonts w:ascii="Times New Roman" w:eastAsia="宋体" w:hAnsi="Times New Roman" w:cs="Times New Roman" w:hint="eastAsia"/>
          <w:kern w:val="0"/>
          <w:sz w:val="24"/>
          <w:szCs w:val="24"/>
          <w:lang w:bidi="ar"/>
        </w:rPr>
        <w:t>，</w:t>
      </w:r>
      <w:r w:rsidR="00E27886" w:rsidRPr="00747410">
        <w:rPr>
          <w:rFonts w:ascii="Times New Roman" w:eastAsia="宋体" w:hAnsi="Times New Roman" w:cs="Times New Roman" w:hint="eastAsia"/>
          <w:kern w:val="0"/>
          <w:sz w:val="24"/>
          <w:szCs w:val="24"/>
          <w:lang w:bidi="ar"/>
        </w:rPr>
        <w:t>中山大学附属第一医院</w:t>
      </w:r>
      <w:r w:rsidR="00747410">
        <w:rPr>
          <w:rFonts w:ascii="Times New Roman" w:eastAsia="宋体" w:hAnsi="Times New Roman" w:cs="Times New Roman" w:hint="eastAsia"/>
          <w:kern w:val="0"/>
          <w:sz w:val="24"/>
          <w:szCs w:val="24"/>
          <w:lang w:bidi="ar"/>
        </w:rPr>
        <w:t>，</w:t>
      </w:r>
      <w:r w:rsidR="00E27886" w:rsidRPr="00747410">
        <w:rPr>
          <w:rFonts w:ascii="Times New Roman" w:eastAsia="宋体" w:hAnsi="Times New Roman" w:cs="Times New Roman" w:hint="eastAsia"/>
          <w:kern w:val="0"/>
          <w:sz w:val="24"/>
          <w:szCs w:val="24"/>
          <w:lang w:bidi="ar"/>
        </w:rPr>
        <w:t>福建医科大学附属第一医院</w:t>
      </w:r>
      <w:r w:rsidR="00747410">
        <w:rPr>
          <w:rFonts w:ascii="Times New Roman" w:eastAsia="宋体" w:hAnsi="Times New Roman" w:cs="Times New Roman" w:hint="eastAsia"/>
          <w:kern w:val="0"/>
          <w:sz w:val="24"/>
          <w:szCs w:val="24"/>
          <w:lang w:bidi="ar"/>
        </w:rPr>
        <w:t>，</w:t>
      </w:r>
      <w:r w:rsidR="00152F3B" w:rsidRPr="00747410">
        <w:rPr>
          <w:rFonts w:ascii="Times New Roman" w:eastAsia="宋体" w:hAnsi="Times New Roman" w:cs="Times New Roman" w:hint="eastAsia"/>
          <w:kern w:val="0"/>
          <w:sz w:val="24"/>
          <w:szCs w:val="24"/>
          <w:lang w:bidi="ar"/>
        </w:rPr>
        <w:t>首都医科大学附属</w:t>
      </w:r>
      <w:r w:rsidR="00E27886" w:rsidRPr="00747410">
        <w:rPr>
          <w:rFonts w:ascii="Times New Roman" w:eastAsia="宋体" w:hAnsi="Times New Roman" w:cs="Times New Roman" w:hint="eastAsia"/>
          <w:kern w:val="0"/>
          <w:sz w:val="24"/>
          <w:szCs w:val="24"/>
          <w:lang w:bidi="ar"/>
        </w:rPr>
        <w:t>北京朝阳医院</w:t>
      </w:r>
      <w:r w:rsidR="00747410">
        <w:rPr>
          <w:rFonts w:ascii="Times New Roman" w:eastAsia="宋体" w:hAnsi="Times New Roman" w:cs="Times New Roman" w:hint="eastAsia"/>
          <w:kern w:val="0"/>
          <w:sz w:val="24"/>
          <w:szCs w:val="24"/>
          <w:lang w:bidi="ar"/>
        </w:rPr>
        <w:t>，</w:t>
      </w:r>
      <w:r w:rsidR="00152F3B" w:rsidRPr="00747410">
        <w:rPr>
          <w:rFonts w:ascii="Times New Roman" w:eastAsia="宋体" w:hAnsi="Times New Roman" w:cs="Times New Roman" w:hint="eastAsia"/>
          <w:kern w:val="0"/>
          <w:sz w:val="24"/>
          <w:szCs w:val="24"/>
          <w:lang w:bidi="ar"/>
        </w:rPr>
        <w:t>首都医科大学附属</w:t>
      </w:r>
      <w:r w:rsidR="00E27886" w:rsidRPr="00747410">
        <w:rPr>
          <w:rFonts w:ascii="Times New Roman" w:eastAsia="宋体" w:hAnsi="Times New Roman" w:cs="Times New Roman" w:hint="eastAsia"/>
          <w:kern w:val="0"/>
          <w:sz w:val="24"/>
          <w:szCs w:val="24"/>
          <w:lang w:bidi="ar"/>
        </w:rPr>
        <w:t>北京安贞医院。</w:t>
      </w:r>
    </w:p>
    <w:bookmarkEnd w:id="1"/>
    <w:p w14:paraId="485E5CD7" w14:textId="2014F516" w:rsidR="00FE251A" w:rsidRPr="00747410" w:rsidRDefault="00FE251A" w:rsidP="00FE251A">
      <w:pPr>
        <w:widowControl/>
        <w:spacing w:line="360" w:lineRule="auto"/>
        <w:ind w:firstLine="420"/>
        <w:jc w:val="left"/>
        <w:rPr>
          <w:rFonts w:ascii="Times New Roman" w:eastAsia="宋体" w:hAnsi="Times New Roman" w:cs="Times New Roman"/>
          <w:sz w:val="24"/>
          <w:szCs w:val="24"/>
        </w:rPr>
      </w:pPr>
      <w:r w:rsidRPr="00747410">
        <w:rPr>
          <w:rFonts w:ascii="Times New Roman" w:eastAsia="宋体" w:hAnsi="Times New Roman" w:cs="Times New Roman"/>
          <w:kern w:val="0"/>
          <w:sz w:val="24"/>
          <w:szCs w:val="24"/>
          <w:lang w:bidi="ar"/>
        </w:rPr>
        <w:t>本</w:t>
      </w:r>
      <w:r w:rsidRPr="00747410">
        <w:rPr>
          <w:rFonts w:ascii="Times New Roman" w:eastAsia="宋体" w:hAnsi="Times New Roman" w:cs="Times New Roman" w:hint="eastAsia"/>
          <w:kern w:val="0"/>
          <w:sz w:val="24"/>
          <w:szCs w:val="24"/>
          <w:lang w:bidi="ar"/>
        </w:rPr>
        <w:t>文件</w:t>
      </w:r>
      <w:r w:rsidRPr="00747410">
        <w:rPr>
          <w:rFonts w:ascii="Times New Roman" w:eastAsia="宋体" w:hAnsi="Times New Roman" w:cs="Times New Roman"/>
          <w:kern w:val="0"/>
          <w:sz w:val="24"/>
          <w:szCs w:val="24"/>
          <w:lang w:bidi="ar"/>
        </w:rPr>
        <w:t>主要起草人：</w:t>
      </w:r>
      <w:r w:rsidR="00E82B56" w:rsidRPr="00747410">
        <w:rPr>
          <w:rFonts w:ascii="Times New Roman" w:eastAsia="宋体" w:hAnsi="Times New Roman" w:cs="Times New Roman" w:hint="eastAsia"/>
          <w:kern w:val="0"/>
          <w:sz w:val="24"/>
          <w:szCs w:val="24"/>
          <w:lang w:bidi="ar"/>
        </w:rPr>
        <w:t>李永哲</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张蜀澜</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吴子燕</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刘昱东</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郑冰</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罗静</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秦晓松</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崔丽艳</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李柳冰</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晏颂欣</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赵冠飞</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陈思</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王立</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陈华</w:t>
      </w:r>
      <w:r w:rsidR="00747410">
        <w:rPr>
          <w:rFonts w:ascii="Times New Roman" w:eastAsia="宋体" w:hAnsi="Times New Roman" w:cs="Times New Roman" w:hint="eastAsia"/>
          <w:kern w:val="0"/>
          <w:sz w:val="24"/>
          <w:szCs w:val="24"/>
          <w:lang w:bidi="ar"/>
        </w:rPr>
        <w:t>，</w:t>
      </w:r>
      <w:r w:rsidR="00E82B56" w:rsidRPr="00747410">
        <w:rPr>
          <w:rFonts w:ascii="Times New Roman" w:eastAsia="宋体" w:hAnsi="Times New Roman" w:cs="Times New Roman" w:hint="eastAsia"/>
          <w:kern w:val="0"/>
          <w:sz w:val="24"/>
          <w:szCs w:val="24"/>
          <w:lang w:bidi="ar"/>
        </w:rPr>
        <w:t>张奉春</w:t>
      </w:r>
      <w:r w:rsidR="00E27886" w:rsidRPr="00747410">
        <w:rPr>
          <w:rFonts w:ascii="Times New Roman" w:eastAsia="宋体" w:hAnsi="Times New Roman" w:cs="Times New Roman" w:hint="eastAsia"/>
          <w:kern w:val="0"/>
          <w:sz w:val="24"/>
          <w:szCs w:val="24"/>
          <w:lang w:bidi="ar"/>
        </w:rPr>
        <w:t>。</w:t>
      </w:r>
    </w:p>
    <w:p w14:paraId="671C8510" w14:textId="77777777" w:rsidR="00FE251A" w:rsidRPr="00604F63" w:rsidRDefault="00FE251A" w:rsidP="00FE251A">
      <w:pPr>
        <w:spacing w:line="360" w:lineRule="auto"/>
        <w:rPr>
          <w:rFonts w:ascii="Times New Roman" w:eastAsia="宋体" w:hAnsi="Times New Roman" w:cs="Times New Roman"/>
          <w:sz w:val="24"/>
          <w:szCs w:val="24"/>
        </w:rPr>
      </w:pPr>
    </w:p>
    <w:p w14:paraId="4C29924D" w14:textId="77777777" w:rsidR="00FE251A" w:rsidRPr="00604F63" w:rsidRDefault="00FE251A" w:rsidP="00FE251A">
      <w:pPr>
        <w:spacing w:line="360" w:lineRule="auto"/>
        <w:rPr>
          <w:rFonts w:ascii="Times New Roman" w:eastAsia="宋体" w:hAnsi="Times New Roman" w:cs="Times New Roman"/>
          <w:sz w:val="24"/>
          <w:szCs w:val="24"/>
        </w:rPr>
      </w:pPr>
    </w:p>
    <w:p w14:paraId="71DE657E" w14:textId="77777777" w:rsidR="00FE251A" w:rsidRPr="00604F63" w:rsidRDefault="00FE251A" w:rsidP="00FE251A">
      <w:pPr>
        <w:spacing w:line="360" w:lineRule="auto"/>
        <w:rPr>
          <w:rFonts w:ascii="Times New Roman" w:eastAsia="宋体" w:hAnsi="Times New Roman" w:cs="Times New Roman"/>
          <w:sz w:val="24"/>
          <w:szCs w:val="24"/>
        </w:rPr>
      </w:pPr>
    </w:p>
    <w:p w14:paraId="7BE88496" w14:textId="77777777" w:rsidR="00FE251A" w:rsidRPr="00604F63" w:rsidRDefault="00FE251A" w:rsidP="00FE251A">
      <w:pPr>
        <w:spacing w:line="360" w:lineRule="auto"/>
        <w:rPr>
          <w:rFonts w:ascii="Times New Roman" w:eastAsia="宋体" w:hAnsi="Times New Roman" w:cs="Times New Roman"/>
          <w:sz w:val="24"/>
          <w:szCs w:val="24"/>
        </w:rPr>
      </w:pPr>
    </w:p>
    <w:p w14:paraId="22336B66" w14:textId="77777777" w:rsidR="00FE251A" w:rsidRPr="00604F63" w:rsidRDefault="00FE251A" w:rsidP="00FE251A">
      <w:pPr>
        <w:spacing w:line="360" w:lineRule="auto"/>
        <w:rPr>
          <w:rFonts w:ascii="Times New Roman" w:eastAsia="宋体" w:hAnsi="Times New Roman" w:cs="Times New Roman"/>
          <w:sz w:val="24"/>
          <w:szCs w:val="24"/>
        </w:rPr>
      </w:pPr>
    </w:p>
    <w:p w14:paraId="29ABFA1A" w14:textId="77777777" w:rsidR="00FE251A" w:rsidRPr="00604F63" w:rsidRDefault="00FE251A" w:rsidP="00FE251A">
      <w:pPr>
        <w:spacing w:line="360" w:lineRule="auto"/>
        <w:rPr>
          <w:rFonts w:ascii="Times New Roman" w:eastAsia="宋体" w:hAnsi="Times New Roman" w:cs="Times New Roman"/>
          <w:sz w:val="24"/>
          <w:szCs w:val="24"/>
        </w:rPr>
      </w:pPr>
    </w:p>
    <w:p w14:paraId="45A68D50" w14:textId="77777777" w:rsidR="00FE251A" w:rsidRPr="00604F63" w:rsidRDefault="00FE251A" w:rsidP="00FE251A">
      <w:pPr>
        <w:spacing w:line="360" w:lineRule="auto"/>
        <w:rPr>
          <w:rFonts w:ascii="Times New Roman" w:eastAsia="宋体" w:hAnsi="Times New Roman" w:cs="Times New Roman"/>
          <w:sz w:val="24"/>
          <w:szCs w:val="24"/>
        </w:rPr>
      </w:pPr>
    </w:p>
    <w:p w14:paraId="2188160C" w14:textId="77777777" w:rsidR="00FE251A" w:rsidRPr="00604F63" w:rsidRDefault="00FE251A" w:rsidP="00FE251A">
      <w:pPr>
        <w:spacing w:line="360" w:lineRule="auto"/>
        <w:rPr>
          <w:rFonts w:ascii="Times New Roman" w:eastAsia="宋体" w:hAnsi="Times New Roman" w:cs="Times New Roman"/>
          <w:sz w:val="24"/>
          <w:szCs w:val="24"/>
        </w:rPr>
      </w:pPr>
    </w:p>
    <w:p w14:paraId="7CC297FB" w14:textId="77777777" w:rsidR="00FE251A" w:rsidRPr="00604F63" w:rsidRDefault="00FE251A" w:rsidP="00FE251A">
      <w:pPr>
        <w:spacing w:line="360" w:lineRule="auto"/>
        <w:rPr>
          <w:rFonts w:ascii="Times New Roman" w:eastAsia="宋体" w:hAnsi="Times New Roman" w:cs="Times New Roman"/>
          <w:sz w:val="24"/>
          <w:szCs w:val="24"/>
        </w:rPr>
      </w:pPr>
    </w:p>
    <w:p w14:paraId="504D7F47" w14:textId="77777777" w:rsidR="00FE251A" w:rsidRPr="00604F63" w:rsidRDefault="00FE251A" w:rsidP="00FE251A">
      <w:pPr>
        <w:spacing w:line="360" w:lineRule="auto"/>
        <w:rPr>
          <w:rFonts w:ascii="Times New Roman" w:eastAsia="宋体" w:hAnsi="Times New Roman" w:cs="Times New Roman"/>
          <w:sz w:val="24"/>
          <w:szCs w:val="24"/>
        </w:rPr>
      </w:pPr>
    </w:p>
    <w:p w14:paraId="5CF4CFCF" w14:textId="77777777" w:rsidR="00FE251A" w:rsidRPr="00604F63" w:rsidRDefault="00FE251A" w:rsidP="00FE251A">
      <w:pPr>
        <w:spacing w:line="360" w:lineRule="auto"/>
        <w:rPr>
          <w:rFonts w:ascii="Times New Roman" w:eastAsia="宋体" w:hAnsi="Times New Roman" w:cs="Times New Roman"/>
          <w:sz w:val="24"/>
          <w:szCs w:val="24"/>
        </w:rPr>
      </w:pPr>
    </w:p>
    <w:p w14:paraId="44F45727" w14:textId="77777777" w:rsidR="0006720A" w:rsidRDefault="0006720A" w:rsidP="00FE251A">
      <w:pPr>
        <w:spacing w:line="360" w:lineRule="auto"/>
        <w:jc w:val="center"/>
        <w:rPr>
          <w:rFonts w:ascii="Times New Roman" w:eastAsia="宋体" w:hAnsi="Times New Roman" w:cs="Times New Roman"/>
          <w:b/>
          <w:bCs/>
          <w:color w:val="EE0000"/>
          <w:sz w:val="28"/>
          <w:szCs w:val="28"/>
        </w:rPr>
      </w:pPr>
    </w:p>
    <w:p w14:paraId="36D51C61" w14:textId="4564BEB1" w:rsidR="00FE251A" w:rsidRPr="008806DF" w:rsidRDefault="00FE251A" w:rsidP="0063766E">
      <w:pPr>
        <w:pStyle w:val="1"/>
        <w:jc w:val="center"/>
        <w:rPr>
          <w:rFonts w:ascii="Times New Roman" w:eastAsia="宋体" w:hAnsi="Times New Roman" w:cs="Times New Roman"/>
          <w:b/>
          <w:bCs/>
          <w:color w:val="auto"/>
          <w:sz w:val="28"/>
          <w:szCs w:val="28"/>
        </w:rPr>
      </w:pPr>
      <w:bookmarkStart w:id="2" w:name="_Toc210991459"/>
      <w:r w:rsidRPr="008806DF">
        <w:rPr>
          <w:rFonts w:ascii="Times New Roman" w:eastAsia="宋体" w:hAnsi="Times New Roman" w:cs="Times New Roman" w:hint="eastAsia"/>
          <w:b/>
          <w:bCs/>
          <w:color w:val="auto"/>
          <w:sz w:val="28"/>
          <w:szCs w:val="28"/>
        </w:rPr>
        <w:lastRenderedPageBreak/>
        <w:t>引言</w:t>
      </w:r>
      <w:bookmarkEnd w:id="2"/>
    </w:p>
    <w:p w14:paraId="09E19F85" w14:textId="1AFF42AF" w:rsidR="008806DF" w:rsidRPr="008806DF" w:rsidRDefault="008806DF" w:rsidP="008806DF">
      <w:pPr>
        <w:spacing w:line="360" w:lineRule="auto"/>
        <w:ind w:firstLineChars="200" w:firstLine="480"/>
        <w:jc w:val="left"/>
        <w:rPr>
          <w:rFonts w:ascii="Times New Roman" w:eastAsia="宋体" w:hAnsi="Times New Roman" w:cs="Times New Roman"/>
          <w:sz w:val="24"/>
          <w:szCs w:val="24"/>
        </w:rPr>
      </w:pPr>
      <w:r w:rsidRPr="008806DF">
        <w:rPr>
          <w:rFonts w:ascii="Times New Roman" w:eastAsia="宋体" w:hAnsi="Times New Roman" w:cs="Times New Roman"/>
          <w:sz w:val="24"/>
          <w:szCs w:val="24"/>
        </w:rPr>
        <w:t>抗磷脂综合征的临床表现复杂</w:t>
      </w:r>
      <w:r w:rsidR="0005553B">
        <w:rPr>
          <w:rFonts w:ascii="Times New Roman" w:eastAsia="宋体" w:hAnsi="Times New Roman" w:cs="Times New Roman" w:hint="eastAsia"/>
          <w:sz w:val="24"/>
          <w:szCs w:val="24"/>
        </w:rPr>
        <w:t>且</w:t>
      </w:r>
      <w:r w:rsidRPr="008806DF">
        <w:rPr>
          <w:rFonts w:ascii="Times New Roman" w:eastAsia="宋体" w:hAnsi="Times New Roman" w:cs="Times New Roman"/>
          <w:sz w:val="24"/>
          <w:szCs w:val="24"/>
        </w:rPr>
        <w:t>缺乏特异性，可累及全身</w:t>
      </w:r>
      <w:r w:rsidR="0005553B">
        <w:rPr>
          <w:rFonts w:ascii="Times New Roman" w:eastAsia="宋体" w:hAnsi="Times New Roman" w:cs="Times New Roman" w:hint="eastAsia"/>
          <w:sz w:val="24"/>
          <w:szCs w:val="24"/>
        </w:rPr>
        <w:t>多个</w:t>
      </w:r>
      <w:r w:rsidRPr="008806DF">
        <w:rPr>
          <w:rFonts w:ascii="Times New Roman" w:eastAsia="宋体" w:hAnsi="Times New Roman" w:cs="Times New Roman"/>
          <w:sz w:val="24"/>
          <w:szCs w:val="24"/>
        </w:rPr>
        <w:t>器官系统，因而</w:t>
      </w:r>
      <w:r w:rsidR="0005553B">
        <w:rPr>
          <w:rFonts w:ascii="Times New Roman" w:eastAsia="宋体" w:hAnsi="Times New Roman" w:cs="Times New Roman" w:hint="eastAsia"/>
          <w:sz w:val="24"/>
          <w:szCs w:val="24"/>
        </w:rPr>
        <w:t>在</w:t>
      </w:r>
      <w:r w:rsidRPr="008806DF">
        <w:rPr>
          <w:rFonts w:ascii="Times New Roman" w:eastAsia="宋体" w:hAnsi="Times New Roman" w:cs="Times New Roman"/>
          <w:sz w:val="24"/>
          <w:szCs w:val="24"/>
        </w:rPr>
        <w:t>临床上常涉及风湿免疫科、</w:t>
      </w:r>
      <w:r w:rsidR="00950554">
        <w:rPr>
          <w:rFonts w:ascii="Times New Roman" w:eastAsia="宋体" w:hAnsi="Times New Roman" w:cs="Times New Roman" w:hint="eastAsia"/>
          <w:sz w:val="24"/>
          <w:szCs w:val="24"/>
        </w:rPr>
        <w:t>检验</w:t>
      </w:r>
      <w:r w:rsidRPr="008806DF">
        <w:rPr>
          <w:rFonts w:ascii="Times New Roman" w:eastAsia="宋体" w:hAnsi="Times New Roman" w:cs="Times New Roman"/>
          <w:sz w:val="24"/>
          <w:szCs w:val="24"/>
        </w:rPr>
        <w:t>科等多个学科，诊断</w:t>
      </w:r>
      <w:r w:rsidR="0005553B">
        <w:rPr>
          <w:rFonts w:ascii="Times New Roman" w:eastAsia="宋体" w:hAnsi="Times New Roman" w:cs="Times New Roman" w:hint="eastAsia"/>
          <w:sz w:val="24"/>
          <w:szCs w:val="24"/>
        </w:rPr>
        <w:t>难度较大</w:t>
      </w:r>
      <w:r w:rsidRPr="008806DF">
        <w:rPr>
          <w:rFonts w:ascii="Times New Roman" w:eastAsia="宋体" w:hAnsi="Times New Roman" w:cs="Times New Roman"/>
          <w:sz w:val="24"/>
          <w:szCs w:val="24"/>
        </w:rPr>
        <w:t>。抗磷脂抗体</w:t>
      </w:r>
      <w:r w:rsidR="0005553B">
        <w:rPr>
          <w:rFonts w:ascii="Times New Roman" w:eastAsia="宋体" w:hAnsi="Times New Roman" w:cs="Times New Roman" w:hint="eastAsia"/>
          <w:sz w:val="24"/>
          <w:szCs w:val="24"/>
        </w:rPr>
        <w:t>不仅</w:t>
      </w:r>
      <w:r w:rsidRPr="008806DF">
        <w:rPr>
          <w:rFonts w:ascii="Times New Roman" w:eastAsia="宋体" w:hAnsi="Times New Roman" w:cs="Times New Roman"/>
          <w:sz w:val="24"/>
          <w:szCs w:val="24"/>
        </w:rPr>
        <w:t>是抗磷脂综合征的重要特征，同时也是</w:t>
      </w:r>
      <w:r w:rsidR="0005553B">
        <w:rPr>
          <w:rFonts w:ascii="Times New Roman" w:eastAsia="宋体" w:hAnsi="Times New Roman" w:cs="Times New Roman" w:hint="eastAsia"/>
          <w:sz w:val="24"/>
          <w:szCs w:val="24"/>
        </w:rPr>
        <w:t>其关键</w:t>
      </w:r>
      <w:r w:rsidRPr="008806DF">
        <w:rPr>
          <w:rFonts w:ascii="Times New Roman" w:eastAsia="宋体" w:hAnsi="Times New Roman" w:cs="Times New Roman"/>
          <w:sz w:val="24"/>
          <w:szCs w:val="24"/>
        </w:rPr>
        <w:t>诊断依据</w:t>
      </w:r>
      <w:r w:rsidR="00FB3E07">
        <w:rPr>
          <w:rFonts w:ascii="Times New Roman" w:eastAsia="宋体" w:hAnsi="Times New Roman" w:cs="Times New Roman" w:hint="eastAsia"/>
          <w:sz w:val="24"/>
          <w:szCs w:val="24"/>
        </w:rPr>
        <w:t>之一</w:t>
      </w:r>
      <w:r w:rsidR="00981EB9">
        <w:rPr>
          <w:rFonts w:ascii="Times New Roman" w:eastAsia="宋体" w:hAnsi="Times New Roman" w:cs="Times New Roman" w:hint="eastAsia"/>
          <w:sz w:val="24"/>
          <w:szCs w:val="24"/>
        </w:rPr>
        <w:t>。</w:t>
      </w:r>
      <w:r w:rsidR="0016319C">
        <w:rPr>
          <w:rFonts w:ascii="Times New Roman" w:eastAsia="宋体" w:hAnsi="Times New Roman" w:cs="Times New Roman" w:hint="eastAsia"/>
          <w:sz w:val="24"/>
          <w:szCs w:val="24"/>
        </w:rPr>
        <w:t>其</w:t>
      </w:r>
      <w:r w:rsidR="005F66F9">
        <w:rPr>
          <w:rFonts w:ascii="Times New Roman" w:eastAsia="宋体" w:hAnsi="Times New Roman" w:cs="Times New Roman" w:hint="eastAsia"/>
          <w:sz w:val="24"/>
          <w:szCs w:val="24"/>
        </w:rPr>
        <w:t>包括</w:t>
      </w:r>
      <w:r w:rsidR="0016319C">
        <w:rPr>
          <w:rFonts w:ascii="Times New Roman" w:eastAsia="宋体" w:hAnsi="Times New Roman" w:cs="Times New Roman"/>
          <w:sz w:val="24"/>
          <w:szCs w:val="24"/>
        </w:rPr>
        <w:t>狼疮抗凝物（</w:t>
      </w:r>
      <w:r w:rsidR="0016319C">
        <w:rPr>
          <w:rFonts w:ascii="Times New Roman" w:eastAsia="宋体" w:hAnsi="Times New Roman" w:cs="Times New Roman"/>
          <w:sz w:val="24"/>
          <w:szCs w:val="24"/>
        </w:rPr>
        <w:t>lupus anticoagulant</w:t>
      </w:r>
      <w:r w:rsidR="0016319C">
        <w:rPr>
          <w:rFonts w:ascii="Times New Roman" w:eastAsia="宋体" w:hAnsi="Times New Roman" w:cs="Times New Roman"/>
          <w:sz w:val="24"/>
          <w:szCs w:val="24"/>
        </w:rPr>
        <w:t>，</w:t>
      </w:r>
      <w:r w:rsidR="0016319C">
        <w:rPr>
          <w:rFonts w:ascii="Times New Roman" w:eastAsia="宋体" w:hAnsi="Times New Roman" w:cs="Times New Roman"/>
          <w:sz w:val="24"/>
          <w:szCs w:val="24"/>
        </w:rPr>
        <w:t>LA</w:t>
      </w:r>
      <w:r w:rsidR="0016319C">
        <w:rPr>
          <w:rFonts w:ascii="Times New Roman" w:eastAsia="宋体" w:hAnsi="Times New Roman" w:cs="Times New Roman"/>
          <w:sz w:val="24"/>
          <w:szCs w:val="24"/>
        </w:rPr>
        <w:t>）、</w:t>
      </w:r>
      <w:r w:rsidR="0016319C">
        <w:rPr>
          <w:rFonts w:ascii="Times New Roman" w:eastAsia="宋体" w:hAnsi="Times New Roman" w:cs="Times New Roman"/>
          <w:sz w:val="24"/>
          <w:szCs w:val="24"/>
        </w:rPr>
        <w:t>IgG</w:t>
      </w:r>
      <w:r w:rsidR="0016319C">
        <w:rPr>
          <w:rFonts w:ascii="Times New Roman" w:eastAsia="宋体" w:hAnsi="Times New Roman" w:cs="Times New Roman"/>
          <w:sz w:val="24"/>
          <w:szCs w:val="24"/>
        </w:rPr>
        <w:t>或</w:t>
      </w:r>
      <w:r w:rsidR="0016319C">
        <w:rPr>
          <w:rFonts w:ascii="Times New Roman" w:eastAsia="宋体" w:hAnsi="Times New Roman" w:cs="Times New Roman"/>
          <w:sz w:val="24"/>
          <w:szCs w:val="24"/>
        </w:rPr>
        <w:t>IgM</w:t>
      </w:r>
      <w:r w:rsidR="0016319C">
        <w:rPr>
          <w:rFonts w:ascii="Times New Roman" w:eastAsia="宋体" w:hAnsi="Times New Roman" w:cs="Times New Roman"/>
          <w:sz w:val="24"/>
          <w:szCs w:val="24"/>
        </w:rPr>
        <w:t>型抗心磷脂抗体（</w:t>
      </w:r>
      <w:r w:rsidR="0016319C">
        <w:rPr>
          <w:rFonts w:ascii="Times New Roman" w:eastAsia="宋体" w:hAnsi="Times New Roman" w:cs="Times New Roman"/>
          <w:sz w:val="24"/>
          <w:szCs w:val="24"/>
        </w:rPr>
        <w:t>anticardiolipin antibodies</w:t>
      </w:r>
      <w:r w:rsidR="0016319C">
        <w:rPr>
          <w:rFonts w:ascii="Times New Roman" w:eastAsia="宋体" w:hAnsi="Times New Roman" w:cs="Times New Roman"/>
          <w:sz w:val="24"/>
          <w:szCs w:val="24"/>
        </w:rPr>
        <w:t>，</w:t>
      </w:r>
      <w:r w:rsidR="0016319C">
        <w:rPr>
          <w:rFonts w:ascii="Times New Roman" w:eastAsia="宋体" w:hAnsi="Times New Roman" w:cs="Times New Roman"/>
          <w:sz w:val="24"/>
          <w:szCs w:val="24"/>
        </w:rPr>
        <w:t>aCL</w:t>
      </w:r>
      <w:r w:rsidR="0016319C">
        <w:rPr>
          <w:rFonts w:ascii="Times New Roman" w:eastAsia="宋体" w:hAnsi="Times New Roman" w:cs="Times New Roman"/>
          <w:sz w:val="24"/>
          <w:szCs w:val="24"/>
        </w:rPr>
        <w:t>）、</w:t>
      </w:r>
      <w:r w:rsidR="0016319C">
        <w:rPr>
          <w:rFonts w:ascii="Times New Roman" w:eastAsia="宋体" w:hAnsi="Times New Roman" w:cs="Times New Roman"/>
          <w:sz w:val="24"/>
          <w:szCs w:val="24"/>
        </w:rPr>
        <w:t>IgG</w:t>
      </w:r>
      <w:r w:rsidR="0016319C">
        <w:rPr>
          <w:rFonts w:ascii="Times New Roman" w:eastAsia="宋体" w:hAnsi="Times New Roman" w:cs="Times New Roman"/>
          <w:sz w:val="24"/>
          <w:szCs w:val="24"/>
        </w:rPr>
        <w:t>或</w:t>
      </w:r>
      <w:r w:rsidR="0016319C">
        <w:rPr>
          <w:rFonts w:ascii="Times New Roman" w:eastAsia="宋体" w:hAnsi="Times New Roman" w:cs="Times New Roman"/>
          <w:sz w:val="24"/>
          <w:szCs w:val="24"/>
        </w:rPr>
        <w:t>IgM</w:t>
      </w:r>
      <w:r w:rsidR="0016319C">
        <w:rPr>
          <w:rFonts w:ascii="Times New Roman" w:eastAsia="宋体" w:hAnsi="Times New Roman" w:cs="Times New Roman"/>
          <w:sz w:val="24"/>
          <w:szCs w:val="24"/>
        </w:rPr>
        <w:t>型抗</w:t>
      </w:r>
      <w:r w:rsidR="0016319C">
        <w:rPr>
          <w:rFonts w:ascii="Times New Roman" w:eastAsia="宋体" w:hAnsi="Times New Roman" w:cs="Times New Roman"/>
          <w:sz w:val="24"/>
          <w:szCs w:val="24"/>
        </w:rPr>
        <w:t>β2</w:t>
      </w:r>
      <w:r w:rsidR="0016319C">
        <w:rPr>
          <w:rFonts w:ascii="Times New Roman" w:eastAsia="宋体" w:hAnsi="Times New Roman" w:cs="Times New Roman"/>
          <w:sz w:val="24"/>
          <w:szCs w:val="24"/>
        </w:rPr>
        <w:t>糖蛋白</w:t>
      </w:r>
      <w:r w:rsidR="0016319C">
        <w:rPr>
          <w:rFonts w:ascii="Times New Roman" w:eastAsia="宋体" w:hAnsi="Times New Roman" w:cs="Times New Roman"/>
          <w:sz w:val="24"/>
          <w:szCs w:val="24"/>
        </w:rPr>
        <w:fldChar w:fldCharType="begin"/>
      </w:r>
      <w:r w:rsidR="0016319C">
        <w:rPr>
          <w:rFonts w:ascii="Times New Roman" w:eastAsia="宋体" w:hAnsi="Times New Roman" w:cs="Times New Roman"/>
          <w:sz w:val="24"/>
          <w:szCs w:val="24"/>
        </w:rPr>
        <w:instrText xml:space="preserve"> = 1 \* ROMAN </w:instrText>
      </w:r>
      <w:r w:rsidR="0016319C">
        <w:rPr>
          <w:rFonts w:ascii="Times New Roman" w:eastAsia="宋体" w:hAnsi="Times New Roman" w:cs="Times New Roman"/>
          <w:sz w:val="24"/>
          <w:szCs w:val="24"/>
        </w:rPr>
        <w:fldChar w:fldCharType="separate"/>
      </w:r>
      <w:r w:rsidR="0016319C">
        <w:rPr>
          <w:rFonts w:ascii="Times New Roman" w:eastAsia="宋体" w:hAnsi="Times New Roman" w:cs="Times New Roman"/>
          <w:sz w:val="24"/>
          <w:szCs w:val="24"/>
        </w:rPr>
        <w:t>I</w:t>
      </w:r>
      <w:r w:rsidR="0016319C">
        <w:rPr>
          <w:rFonts w:ascii="Times New Roman" w:eastAsia="宋体" w:hAnsi="Times New Roman" w:cs="Times New Roman"/>
          <w:sz w:val="24"/>
          <w:szCs w:val="24"/>
        </w:rPr>
        <w:fldChar w:fldCharType="end"/>
      </w:r>
      <w:r w:rsidR="0016319C">
        <w:rPr>
          <w:rFonts w:ascii="Times New Roman" w:eastAsia="宋体" w:hAnsi="Times New Roman" w:cs="Times New Roman"/>
          <w:sz w:val="24"/>
          <w:szCs w:val="24"/>
        </w:rPr>
        <w:t>抗体（</w:t>
      </w:r>
      <w:r w:rsidR="0016319C">
        <w:rPr>
          <w:rFonts w:ascii="Times New Roman" w:eastAsia="宋体" w:hAnsi="Times New Roman" w:cs="Times New Roman"/>
          <w:sz w:val="24"/>
          <w:szCs w:val="24"/>
        </w:rPr>
        <w:t>anti</w:t>
      </w:r>
      <w:r w:rsidR="0016319C">
        <w:rPr>
          <w:rFonts w:ascii="Times New Roman" w:eastAsia="宋体" w:hAnsi="Times New Roman" w:cs="Times New Roman"/>
          <w:sz w:val="24"/>
          <w:szCs w:val="24"/>
        </w:rPr>
        <w:noBreakHyphen/>
        <w:t xml:space="preserve">β2 glycoprotein </w:t>
      </w:r>
      <w:r w:rsidR="0016319C">
        <w:rPr>
          <w:rFonts w:ascii="Times New Roman" w:eastAsia="宋体" w:hAnsi="Times New Roman" w:cs="Times New Roman"/>
          <w:sz w:val="24"/>
          <w:szCs w:val="24"/>
        </w:rPr>
        <w:fldChar w:fldCharType="begin"/>
      </w:r>
      <w:r w:rsidR="0016319C">
        <w:rPr>
          <w:rFonts w:ascii="Times New Roman" w:eastAsia="宋体" w:hAnsi="Times New Roman" w:cs="Times New Roman"/>
          <w:sz w:val="24"/>
          <w:szCs w:val="24"/>
        </w:rPr>
        <w:instrText xml:space="preserve"> = 1 \* ROMAN </w:instrText>
      </w:r>
      <w:r w:rsidR="0016319C">
        <w:rPr>
          <w:rFonts w:ascii="Times New Roman" w:eastAsia="宋体" w:hAnsi="Times New Roman" w:cs="Times New Roman"/>
          <w:sz w:val="24"/>
          <w:szCs w:val="24"/>
        </w:rPr>
        <w:fldChar w:fldCharType="separate"/>
      </w:r>
      <w:r w:rsidR="0016319C">
        <w:rPr>
          <w:rFonts w:ascii="Times New Roman" w:eastAsia="宋体" w:hAnsi="Times New Roman" w:cs="Times New Roman"/>
          <w:sz w:val="24"/>
          <w:szCs w:val="24"/>
        </w:rPr>
        <w:t>I</w:t>
      </w:r>
      <w:r w:rsidR="0016319C">
        <w:rPr>
          <w:rFonts w:ascii="Times New Roman" w:eastAsia="宋体" w:hAnsi="Times New Roman" w:cs="Times New Roman"/>
          <w:sz w:val="24"/>
          <w:szCs w:val="24"/>
        </w:rPr>
        <w:fldChar w:fldCharType="end"/>
      </w:r>
      <w:r w:rsidR="0016319C">
        <w:rPr>
          <w:rFonts w:ascii="Times New Roman" w:eastAsia="宋体" w:hAnsi="Times New Roman" w:cs="Times New Roman"/>
          <w:sz w:val="24"/>
          <w:szCs w:val="24"/>
        </w:rPr>
        <w:t xml:space="preserve"> antibodies</w:t>
      </w:r>
      <w:r w:rsidR="0016319C">
        <w:rPr>
          <w:rFonts w:ascii="Times New Roman" w:eastAsia="宋体" w:hAnsi="Times New Roman" w:cs="Times New Roman"/>
          <w:sz w:val="24"/>
          <w:szCs w:val="24"/>
        </w:rPr>
        <w:t>，</w:t>
      </w:r>
      <w:r w:rsidR="0016319C">
        <w:rPr>
          <w:rFonts w:ascii="Times New Roman" w:eastAsia="宋体" w:hAnsi="Times New Roman" w:cs="Times New Roman"/>
          <w:sz w:val="24"/>
          <w:szCs w:val="24"/>
        </w:rPr>
        <w:t>aβ2GP</w:t>
      </w:r>
      <w:r w:rsidR="0016319C">
        <w:rPr>
          <w:rFonts w:ascii="Times New Roman" w:eastAsia="宋体" w:hAnsi="Times New Roman" w:cs="Times New Roman"/>
          <w:sz w:val="24"/>
          <w:szCs w:val="24"/>
        </w:rPr>
        <w:fldChar w:fldCharType="begin"/>
      </w:r>
      <w:r w:rsidR="0016319C">
        <w:rPr>
          <w:rFonts w:ascii="Times New Roman" w:eastAsia="宋体" w:hAnsi="Times New Roman" w:cs="Times New Roman"/>
          <w:sz w:val="24"/>
          <w:szCs w:val="24"/>
        </w:rPr>
        <w:instrText xml:space="preserve"> = 1 \* ROMAN </w:instrText>
      </w:r>
      <w:r w:rsidR="0016319C">
        <w:rPr>
          <w:rFonts w:ascii="Times New Roman" w:eastAsia="宋体" w:hAnsi="Times New Roman" w:cs="Times New Roman"/>
          <w:sz w:val="24"/>
          <w:szCs w:val="24"/>
        </w:rPr>
        <w:fldChar w:fldCharType="separate"/>
      </w:r>
      <w:r w:rsidR="0016319C">
        <w:rPr>
          <w:rFonts w:ascii="Times New Roman" w:eastAsia="宋体" w:hAnsi="Times New Roman" w:cs="Times New Roman"/>
          <w:sz w:val="24"/>
          <w:szCs w:val="24"/>
        </w:rPr>
        <w:t>I</w:t>
      </w:r>
      <w:r w:rsidR="0016319C">
        <w:rPr>
          <w:rFonts w:ascii="Times New Roman" w:eastAsia="宋体" w:hAnsi="Times New Roman" w:cs="Times New Roman"/>
          <w:sz w:val="24"/>
          <w:szCs w:val="24"/>
        </w:rPr>
        <w:fldChar w:fldCharType="end"/>
      </w:r>
      <w:r w:rsidR="0016319C">
        <w:rPr>
          <w:rFonts w:ascii="Times New Roman" w:eastAsia="宋体" w:hAnsi="Times New Roman" w:cs="Times New Roman"/>
          <w:sz w:val="24"/>
          <w:szCs w:val="24"/>
        </w:rPr>
        <w:t>）及其他非</w:t>
      </w:r>
      <w:r w:rsidR="0016319C">
        <w:rPr>
          <w:rFonts w:ascii="Times New Roman" w:eastAsia="宋体" w:hAnsi="Times New Roman" w:cs="Times New Roman" w:hint="eastAsia"/>
          <w:sz w:val="24"/>
          <w:szCs w:val="24"/>
        </w:rPr>
        <w:t>分类</w:t>
      </w:r>
      <w:r w:rsidR="0016319C">
        <w:rPr>
          <w:rFonts w:ascii="Times New Roman" w:eastAsia="宋体" w:hAnsi="Times New Roman" w:cs="Times New Roman"/>
          <w:sz w:val="24"/>
          <w:szCs w:val="24"/>
        </w:rPr>
        <w:t>标准</w:t>
      </w:r>
      <w:r w:rsidR="0016319C">
        <w:rPr>
          <w:rFonts w:ascii="Times New Roman" w:eastAsia="宋体" w:hAnsi="Times New Roman" w:cs="Times New Roman" w:hint="eastAsia"/>
          <w:sz w:val="24"/>
          <w:szCs w:val="24"/>
        </w:rPr>
        <w:t>的</w:t>
      </w:r>
      <w:r w:rsidR="0016319C">
        <w:rPr>
          <w:rFonts w:ascii="Times New Roman" w:eastAsia="宋体" w:hAnsi="Times New Roman" w:cs="Times New Roman"/>
          <w:sz w:val="24"/>
          <w:szCs w:val="24"/>
        </w:rPr>
        <w:t>抗磷脂抗体谱等</w:t>
      </w:r>
      <w:r w:rsidR="0016319C">
        <w:rPr>
          <w:rFonts w:ascii="Times New Roman" w:eastAsia="宋体" w:hAnsi="Times New Roman" w:cs="Times New Roman" w:hint="eastAsia"/>
          <w:sz w:val="24"/>
          <w:szCs w:val="24"/>
        </w:rPr>
        <w:t>。</w:t>
      </w:r>
      <w:r w:rsidR="00981EB9">
        <w:rPr>
          <w:rFonts w:ascii="Times New Roman" w:eastAsia="宋体" w:hAnsi="Times New Roman" w:cs="Times New Roman" w:hint="eastAsia"/>
          <w:sz w:val="24"/>
          <w:szCs w:val="24"/>
        </w:rPr>
        <w:t>然而，</w:t>
      </w:r>
      <w:r w:rsidRPr="008806DF">
        <w:rPr>
          <w:rFonts w:ascii="Times New Roman" w:eastAsia="宋体" w:hAnsi="Times New Roman" w:cs="Times New Roman"/>
          <w:sz w:val="24"/>
          <w:szCs w:val="24"/>
        </w:rPr>
        <w:t>由于缺乏</w:t>
      </w:r>
      <w:r w:rsidR="00981EB9">
        <w:rPr>
          <w:rFonts w:ascii="Times New Roman" w:eastAsia="宋体" w:hAnsi="Times New Roman" w:cs="Times New Roman" w:hint="eastAsia"/>
          <w:sz w:val="24"/>
          <w:szCs w:val="24"/>
        </w:rPr>
        <w:t>充分</w:t>
      </w:r>
      <w:r w:rsidRPr="008806DF">
        <w:rPr>
          <w:rFonts w:ascii="Times New Roman" w:eastAsia="宋体" w:hAnsi="Times New Roman" w:cs="Times New Roman"/>
          <w:sz w:val="24"/>
          <w:szCs w:val="24"/>
        </w:rPr>
        <w:t>的循证医学证据，目前</w:t>
      </w:r>
      <w:r w:rsidR="00981EB9">
        <w:rPr>
          <w:rFonts w:ascii="Times New Roman" w:eastAsia="宋体" w:hAnsi="Times New Roman" w:cs="Times New Roman" w:hint="eastAsia"/>
          <w:sz w:val="24"/>
          <w:szCs w:val="24"/>
        </w:rPr>
        <w:t>尚未建立起</w:t>
      </w:r>
      <w:r w:rsidRPr="008806DF">
        <w:rPr>
          <w:rFonts w:ascii="Times New Roman" w:eastAsia="宋体" w:hAnsi="Times New Roman" w:cs="Times New Roman"/>
          <w:sz w:val="24"/>
          <w:szCs w:val="24"/>
        </w:rPr>
        <w:t>严格的抗磷脂抗体检测</w:t>
      </w:r>
      <w:r>
        <w:rPr>
          <w:rFonts w:ascii="Times New Roman" w:eastAsia="宋体" w:hAnsi="Times New Roman" w:cs="Times New Roman" w:hint="eastAsia"/>
          <w:sz w:val="24"/>
          <w:szCs w:val="24"/>
        </w:rPr>
        <w:t>标准</w:t>
      </w:r>
      <w:r w:rsidRPr="008806DF">
        <w:rPr>
          <w:rFonts w:ascii="Times New Roman" w:eastAsia="宋体" w:hAnsi="Times New Roman" w:cs="Times New Roman"/>
          <w:sz w:val="24"/>
          <w:szCs w:val="24"/>
        </w:rPr>
        <w:t>。随着对抗磷脂抗体临床应用需求的</w:t>
      </w:r>
      <w:r w:rsidR="00981EB9">
        <w:rPr>
          <w:rFonts w:ascii="Times New Roman" w:eastAsia="宋体" w:hAnsi="Times New Roman" w:cs="Times New Roman" w:hint="eastAsia"/>
          <w:sz w:val="24"/>
          <w:szCs w:val="24"/>
        </w:rPr>
        <w:t>日益</w:t>
      </w:r>
      <w:r w:rsidRPr="008806DF">
        <w:rPr>
          <w:rFonts w:ascii="Times New Roman" w:eastAsia="宋体" w:hAnsi="Times New Roman" w:cs="Times New Roman"/>
          <w:sz w:val="24"/>
          <w:szCs w:val="24"/>
        </w:rPr>
        <w:t>增加</w:t>
      </w:r>
      <w:r w:rsidR="00981EB9">
        <w:rPr>
          <w:rFonts w:ascii="Times New Roman" w:eastAsia="宋体" w:hAnsi="Times New Roman" w:cs="Times New Roman" w:hint="eastAsia"/>
          <w:sz w:val="24"/>
          <w:szCs w:val="24"/>
        </w:rPr>
        <w:t>，以</w:t>
      </w:r>
      <w:r w:rsidR="005240E5">
        <w:rPr>
          <w:rFonts w:ascii="Times New Roman" w:eastAsia="宋体" w:hAnsi="Times New Roman" w:cs="Times New Roman" w:hint="eastAsia"/>
          <w:sz w:val="24"/>
          <w:szCs w:val="24"/>
        </w:rPr>
        <w:t>及新检测方法学的</w:t>
      </w:r>
      <w:r w:rsidR="00981EB9">
        <w:rPr>
          <w:rFonts w:ascii="Times New Roman" w:eastAsia="宋体" w:hAnsi="Times New Roman" w:cs="Times New Roman" w:hint="eastAsia"/>
          <w:sz w:val="24"/>
          <w:szCs w:val="24"/>
        </w:rPr>
        <w:t>不断涌现</w:t>
      </w:r>
      <w:r w:rsidRPr="008806DF">
        <w:rPr>
          <w:rFonts w:ascii="Times New Roman" w:eastAsia="宋体" w:hAnsi="Times New Roman" w:cs="Times New Roman"/>
          <w:sz w:val="24"/>
          <w:szCs w:val="24"/>
        </w:rPr>
        <w:t>，</w:t>
      </w:r>
      <w:r w:rsidR="00981EB9">
        <w:rPr>
          <w:rFonts w:ascii="Times New Roman" w:eastAsia="宋体" w:hAnsi="Times New Roman" w:cs="Times New Roman" w:hint="eastAsia"/>
          <w:sz w:val="24"/>
          <w:szCs w:val="24"/>
        </w:rPr>
        <w:t>其</w:t>
      </w:r>
      <w:r w:rsidRPr="008806DF">
        <w:rPr>
          <w:rFonts w:ascii="Times New Roman" w:eastAsia="宋体" w:hAnsi="Times New Roman" w:cs="Times New Roman"/>
          <w:sz w:val="24"/>
          <w:szCs w:val="24"/>
        </w:rPr>
        <w:t>检测</w:t>
      </w:r>
      <w:r w:rsidR="005240E5">
        <w:rPr>
          <w:rFonts w:ascii="Times New Roman" w:eastAsia="宋体" w:hAnsi="Times New Roman" w:cs="Times New Roman" w:hint="eastAsia"/>
          <w:sz w:val="24"/>
          <w:szCs w:val="24"/>
        </w:rPr>
        <w:t>仍</w:t>
      </w:r>
      <w:r w:rsidR="00981EB9">
        <w:rPr>
          <w:rFonts w:ascii="Times New Roman" w:eastAsia="宋体" w:hAnsi="Times New Roman" w:cs="Times New Roman" w:hint="eastAsia"/>
          <w:sz w:val="24"/>
          <w:szCs w:val="24"/>
        </w:rPr>
        <w:t>面临</w:t>
      </w:r>
      <w:r w:rsidR="005240E5">
        <w:rPr>
          <w:rFonts w:ascii="Times New Roman" w:eastAsia="宋体" w:hAnsi="Times New Roman" w:cs="Times New Roman" w:hint="eastAsia"/>
          <w:sz w:val="24"/>
          <w:szCs w:val="24"/>
        </w:rPr>
        <w:t>以下问题：</w:t>
      </w:r>
      <w:r w:rsidR="00981EB9">
        <w:rPr>
          <w:rFonts w:ascii="Times New Roman" w:eastAsia="宋体" w:hAnsi="Times New Roman" w:cs="Times New Roman" w:hint="eastAsia"/>
          <w:sz w:val="24"/>
          <w:szCs w:val="24"/>
        </w:rPr>
        <w:t>一是</w:t>
      </w:r>
      <w:r w:rsidR="005240E5">
        <w:rPr>
          <w:rFonts w:ascii="Times New Roman" w:eastAsia="宋体" w:hAnsi="Times New Roman" w:cs="Times New Roman" w:hint="eastAsia"/>
          <w:sz w:val="24"/>
          <w:szCs w:val="24"/>
        </w:rPr>
        <w:t>不同</w:t>
      </w:r>
      <w:r w:rsidR="00981EB9">
        <w:rPr>
          <w:rFonts w:ascii="Times New Roman" w:eastAsia="宋体" w:hAnsi="Times New Roman" w:cs="Times New Roman" w:hint="eastAsia"/>
          <w:sz w:val="24"/>
          <w:szCs w:val="24"/>
        </w:rPr>
        <w:t>检测</w:t>
      </w:r>
      <w:r w:rsidR="005240E5">
        <w:rPr>
          <w:rFonts w:ascii="Times New Roman" w:eastAsia="宋体" w:hAnsi="Times New Roman" w:cs="Times New Roman" w:hint="eastAsia"/>
          <w:sz w:val="24"/>
          <w:szCs w:val="24"/>
        </w:rPr>
        <w:t>方法之间的检测结果差异较大，难以</w:t>
      </w:r>
      <w:r w:rsidR="00981EB9">
        <w:rPr>
          <w:rFonts w:ascii="Times New Roman" w:eastAsia="宋体" w:hAnsi="Times New Roman" w:cs="Times New Roman" w:hint="eastAsia"/>
          <w:sz w:val="24"/>
          <w:szCs w:val="24"/>
        </w:rPr>
        <w:t>实现</w:t>
      </w:r>
      <w:r w:rsidR="005240E5">
        <w:rPr>
          <w:rFonts w:ascii="Times New Roman" w:eastAsia="宋体" w:hAnsi="Times New Roman" w:cs="Times New Roman" w:hint="eastAsia"/>
          <w:sz w:val="24"/>
          <w:szCs w:val="24"/>
        </w:rPr>
        <w:t>标准化；</w:t>
      </w:r>
      <w:r w:rsidR="00981EB9">
        <w:rPr>
          <w:rFonts w:ascii="Times New Roman" w:eastAsia="宋体" w:hAnsi="Times New Roman" w:cs="Times New Roman" w:hint="eastAsia"/>
          <w:sz w:val="24"/>
          <w:szCs w:val="24"/>
        </w:rPr>
        <w:t>二是</w:t>
      </w:r>
      <w:r w:rsidR="005240E5">
        <w:rPr>
          <w:rFonts w:ascii="Times New Roman" w:eastAsia="宋体" w:hAnsi="Times New Roman" w:cs="Times New Roman" w:hint="eastAsia"/>
          <w:sz w:val="24"/>
          <w:szCs w:val="24"/>
        </w:rPr>
        <w:t>缺乏</w:t>
      </w:r>
      <w:r w:rsidR="00CD7034">
        <w:rPr>
          <w:rFonts w:ascii="Times New Roman" w:eastAsia="宋体" w:hAnsi="Times New Roman" w:cs="Times New Roman" w:hint="eastAsia"/>
          <w:sz w:val="24"/>
          <w:szCs w:val="24"/>
        </w:rPr>
        <w:t>可</w:t>
      </w:r>
      <w:r w:rsidR="00981EB9">
        <w:rPr>
          <w:rFonts w:ascii="Times New Roman" w:eastAsia="宋体" w:hAnsi="Times New Roman" w:cs="Times New Roman" w:hint="eastAsia"/>
          <w:sz w:val="24"/>
          <w:szCs w:val="24"/>
        </w:rPr>
        <w:t>在全球范围内</w:t>
      </w:r>
      <w:r w:rsidR="00CD7034">
        <w:rPr>
          <w:rFonts w:ascii="Times New Roman" w:eastAsia="宋体" w:hAnsi="Times New Roman" w:cs="Times New Roman" w:hint="eastAsia"/>
          <w:sz w:val="24"/>
          <w:szCs w:val="24"/>
        </w:rPr>
        <w:t>广泛</w:t>
      </w:r>
      <w:r w:rsidR="00981EB9">
        <w:rPr>
          <w:rFonts w:ascii="Times New Roman" w:eastAsia="宋体" w:hAnsi="Times New Roman" w:cs="Times New Roman" w:hint="eastAsia"/>
          <w:sz w:val="24"/>
          <w:szCs w:val="24"/>
        </w:rPr>
        <w:t>使用</w:t>
      </w:r>
      <w:r w:rsidR="005240E5">
        <w:rPr>
          <w:rFonts w:ascii="Times New Roman" w:eastAsia="宋体" w:hAnsi="Times New Roman" w:cs="Times New Roman" w:hint="eastAsia"/>
          <w:sz w:val="24"/>
          <w:szCs w:val="24"/>
        </w:rPr>
        <w:t>的权威标准物质及单位</w:t>
      </w:r>
      <w:r w:rsidRPr="008806DF">
        <w:rPr>
          <w:rFonts w:ascii="Times New Roman" w:eastAsia="宋体" w:hAnsi="Times New Roman" w:cs="Times New Roman"/>
          <w:sz w:val="24"/>
          <w:szCs w:val="24"/>
        </w:rPr>
        <w:t>。因此，</w:t>
      </w:r>
      <w:r>
        <w:rPr>
          <w:rFonts w:ascii="Times New Roman" w:eastAsia="宋体" w:hAnsi="Times New Roman" w:cs="Times New Roman" w:hint="eastAsia"/>
          <w:sz w:val="24"/>
          <w:szCs w:val="24"/>
        </w:rPr>
        <w:t>北京医学会</w:t>
      </w:r>
      <w:r w:rsidRPr="008806DF">
        <w:rPr>
          <w:rFonts w:ascii="Times New Roman" w:eastAsia="宋体" w:hAnsi="Times New Roman" w:cs="Times New Roman"/>
          <w:sz w:val="24"/>
          <w:szCs w:val="24"/>
        </w:rPr>
        <w:t>组织制定</w:t>
      </w:r>
      <w:r w:rsidR="0096060C">
        <w:rPr>
          <w:rFonts w:ascii="Times New Roman" w:eastAsia="宋体" w:hAnsi="Times New Roman" w:cs="Times New Roman" w:hint="eastAsia"/>
          <w:sz w:val="24"/>
          <w:szCs w:val="24"/>
        </w:rPr>
        <w:t>了</w:t>
      </w:r>
      <w:r w:rsidRPr="008806DF">
        <w:rPr>
          <w:rFonts w:ascii="Times New Roman" w:eastAsia="宋体" w:hAnsi="Times New Roman" w:cs="Times New Roman"/>
          <w:sz w:val="24"/>
          <w:szCs w:val="24"/>
        </w:rPr>
        <w:t>抗磷脂抗体检测的</w:t>
      </w:r>
      <w:r w:rsidR="0096060C">
        <w:rPr>
          <w:rFonts w:ascii="Times New Roman" w:eastAsia="宋体" w:hAnsi="Times New Roman" w:cs="Times New Roman" w:hint="eastAsia"/>
          <w:sz w:val="24"/>
          <w:szCs w:val="24"/>
        </w:rPr>
        <w:t>相关</w:t>
      </w:r>
      <w:r>
        <w:rPr>
          <w:rFonts w:ascii="Times New Roman" w:eastAsia="宋体" w:hAnsi="Times New Roman" w:cs="Times New Roman" w:hint="eastAsia"/>
          <w:sz w:val="24"/>
          <w:szCs w:val="24"/>
        </w:rPr>
        <w:t>标准</w:t>
      </w:r>
      <w:r w:rsidRPr="008806DF">
        <w:rPr>
          <w:rFonts w:ascii="Times New Roman" w:eastAsia="宋体" w:hAnsi="Times New Roman" w:cs="Times New Roman"/>
          <w:sz w:val="24"/>
          <w:szCs w:val="24"/>
        </w:rPr>
        <w:t>，</w:t>
      </w:r>
      <w:r w:rsidR="0096060C">
        <w:rPr>
          <w:rFonts w:ascii="Times New Roman" w:eastAsia="宋体" w:hAnsi="Times New Roman" w:cs="Times New Roman" w:hint="eastAsia"/>
          <w:sz w:val="24"/>
          <w:szCs w:val="24"/>
        </w:rPr>
        <w:t>旨在</w:t>
      </w:r>
      <w:r w:rsidRPr="008806DF">
        <w:rPr>
          <w:rFonts w:ascii="Times New Roman" w:eastAsia="宋体" w:hAnsi="Times New Roman" w:cs="Times New Roman"/>
          <w:sz w:val="24"/>
          <w:szCs w:val="24"/>
        </w:rPr>
        <w:t>为抗磷脂抗体</w:t>
      </w:r>
      <w:r w:rsidR="0096060C">
        <w:rPr>
          <w:rFonts w:ascii="Times New Roman" w:eastAsia="宋体" w:hAnsi="Times New Roman" w:cs="Times New Roman" w:hint="eastAsia"/>
          <w:sz w:val="24"/>
          <w:szCs w:val="24"/>
        </w:rPr>
        <w:t>的</w:t>
      </w:r>
      <w:r w:rsidRPr="008806DF">
        <w:rPr>
          <w:rFonts w:ascii="Times New Roman" w:eastAsia="宋体" w:hAnsi="Times New Roman" w:cs="Times New Roman"/>
          <w:sz w:val="24"/>
          <w:szCs w:val="24"/>
        </w:rPr>
        <w:t>实验室检测及</w:t>
      </w:r>
      <w:r w:rsidR="00CD7034">
        <w:rPr>
          <w:rFonts w:ascii="Times New Roman" w:eastAsia="宋体" w:hAnsi="Times New Roman" w:cs="Times New Roman" w:hint="eastAsia"/>
          <w:sz w:val="24"/>
          <w:szCs w:val="24"/>
        </w:rPr>
        <w:t>临床</w:t>
      </w:r>
      <w:r w:rsidRPr="008806DF">
        <w:rPr>
          <w:rFonts w:ascii="Times New Roman" w:eastAsia="宋体" w:hAnsi="Times New Roman" w:cs="Times New Roman"/>
          <w:sz w:val="24"/>
          <w:szCs w:val="24"/>
        </w:rPr>
        <w:t>应用</w:t>
      </w:r>
      <w:r w:rsidR="0096060C">
        <w:rPr>
          <w:rFonts w:ascii="Times New Roman" w:eastAsia="宋体" w:hAnsi="Times New Roman" w:cs="Times New Roman" w:hint="eastAsia"/>
          <w:sz w:val="24"/>
          <w:szCs w:val="24"/>
        </w:rPr>
        <w:t>提供规范</w:t>
      </w:r>
      <w:r w:rsidRPr="008806DF">
        <w:rPr>
          <w:rFonts w:ascii="Times New Roman" w:eastAsia="宋体" w:hAnsi="Times New Roman" w:cs="Times New Roman"/>
          <w:sz w:val="24"/>
          <w:szCs w:val="24"/>
        </w:rPr>
        <w:t>依据。</w:t>
      </w:r>
    </w:p>
    <w:p w14:paraId="3F6E8088"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47BCEB18"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00A7C5F9"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4437A3A7"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56B88CF1"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0BD7093C"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6FF30A81"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0AAFCF60"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19B2F7A3"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1453A3AB"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7E326C69"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1DB3A9D6"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306AC9FA"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441456E1" w14:textId="77777777" w:rsidR="00A9423D" w:rsidRDefault="00A9423D" w:rsidP="0063766E">
      <w:pPr>
        <w:spacing w:line="360" w:lineRule="auto"/>
        <w:jc w:val="center"/>
        <w:rPr>
          <w:rFonts w:ascii="Times New Roman" w:eastAsia="宋体" w:hAnsi="Times New Roman" w:cs="Times New Roman"/>
          <w:b/>
          <w:bCs/>
          <w:color w:val="EE0000"/>
          <w:sz w:val="28"/>
          <w:szCs w:val="28"/>
        </w:rPr>
      </w:pPr>
    </w:p>
    <w:p w14:paraId="40156776" w14:textId="5B55CDC7" w:rsidR="00FE251A" w:rsidRPr="0006720A" w:rsidRDefault="00D0243F" w:rsidP="0063766E">
      <w:pPr>
        <w:spacing w:line="360" w:lineRule="auto"/>
        <w:jc w:val="center"/>
        <w:rPr>
          <w:rFonts w:ascii="Times New Roman" w:eastAsia="宋体" w:hAnsi="Times New Roman" w:cs="Times New Roman"/>
          <w:b/>
          <w:bCs/>
          <w:sz w:val="28"/>
          <w:szCs w:val="28"/>
        </w:rPr>
      </w:pPr>
      <w:r w:rsidRPr="00D0243F">
        <w:rPr>
          <w:rFonts w:ascii="Times New Roman" w:eastAsia="宋体" w:hAnsi="Times New Roman" w:cs="Times New Roman"/>
          <w:b/>
          <w:bCs/>
          <w:sz w:val="28"/>
          <w:szCs w:val="28"/>
        </w:rPr>
        <w:t>抗磷脂抗体检测标准</w:t>
      </w:r>
    </w:p>
    <w:p w14:paraId="0B6C9AD7" w14:textId="3054CBA6" w:rsidR="005B791F" w:rsidRDefault="00000000" w:rsidP="0063766E">
      <w:pPr>
        <w:pStyle w:val="1"/>
        <w:rPr>
          <w:rFonts w:ascii="Times New Roman" w:eastAsia="宋体" w:hAnsi="Times New Roman" w:cs="Times New Roman"/>
          <w:b/>
          <w:bCs/>
          <w:sz w:val="24"/>
          <w:szCs w:val="24"/>
        </w:rPr>
      </w:pPr>
      <w:bookmarkStart w:id="3" w:name="_Toc210991460"/>
      <w:r>
        <w:rPr>
          <w:rFonts w:ascii="Times New Roman" w:eastAsia="宋体" w:hAnsi="Times New Roman" w:cs="Times New Roman"/>
          <w:b/>
          <w:bCs/>
          <w:sz w:val="24"/>
          <w:szCs w:val="24"/>
        </w:rPr>
        <w:t xml:space="preserve">1 </w:t>
      </w:r>
      <w:r>
        <w:rPr>
          <w:rFonts w:ascii="Times New Roman" w:eastAsia="宋体" w:hAnsi="Times New Roman" w:cs="Times New Roman"/>
          <w:b/>
          <w:bCs/>
          <w:sz w:val="24"/>
          <w:szCs w:val="24"/>
        </w:rPr>
        <w:t>范围</w:t>
      </w:r>
      <w:bookmarkEnd w:id="3"/>
    </w:p>
    <w:p w14:paraId="607CD9FC" w14:textId="77777777" w:rsidR="005B791F" w:rsidRDefault="00000000">
      <w:pPr>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本标准规定了抗磷脂抗体检测的技术要求。</w:t>
      </w:r>
    </w:p>
    <w:p w14:paraId="30C37502" w14:textId="77777777" w:rsidR="005B791F" w:rsidRDefault="00000000">
      <w:pPr>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本标准</w:t>
      </w:r>
      <w:r>
        <w:rPr>
          <w:rFonts w:ascii="Times New Roman" w:eastAsia="宋体" w:hAnsi="Times New Roman" w:cs="Times New Roman" w:hint="eastAsia"/>
          <w:sz w:val="24"/>
          <w:szCs w:val="24"/>
        </w:rPr>
        <w:t>适用</w:t>
      </w:r>
      <w:r>
        <w:rPr>
          <w:rFonts w:ascii="Times New Roman" w:eastAsia="宋体" w:hAnsi="Times New Roman" w:cs="Times New Roman"/>
          <w:sz w:val="24"/>
          <w:szCs w:val="24"/>
        </w:rPr>
        <w:t>于开展抗磷脂抗体检测的相关机构。</w:t>
      </w:r>
    </w:p>
    <w:p w14:paraId="556CAD1C" w14:textId="77777777" w:rsidR="005B791F" w:rsidRDefault="00000000" w:rsidP="0063766E">
      <w:pPr>
        <w:pStyle w:val="1"/>
        <w:rPr>
          <w:rFonts w:ascii="Times New Roman" w:eastAsia="宋体" w:hAnsi="Times New Roman" w:cs="Times New Roman"/>
          <w:b/>
          <w:bCs/>
          <w:sz w:val="24"/>
          <w:szCs w:val="24"/>
        </w:rPr>
      </w:pPr>
      <w:bookmarkStart w:id="4" w:name="_Toc210991461"/>
      <w:r>
        <w:rPr>
          <w:rFonts w:ascii="Times New Roman" w:eastAsia="宋体" w:hAnsi="Times New Roman" w:cs="Times New Roman"/>
          <w:b/>
          <w:bCs/>
          <w:sz w:val="24"/>
          <w:szCs w:val="24"/>
        </w:rPr>
        <w:t xml:space="preserve">2 </w:t>
      </w:r>
      <w:r>
        <w:rPr>
          <w:rFonts w:ascii="Times New Roman" w:eastAsia="宋体" w:hAnsi="Times New Roman" w:cs="Times New Roman"/>
          <w:b/>
          <w:bCs/>
          <w:sz w:val="24"/>
          <w:szCs w:val="24"/>
        </w:rPr>
        <w:t>规范性引用文件</w:t>
      </w:r>
      <w:bookmarkEnd w:id="4"/>
    </w:p>
    <w:p w14:paraId="4539EDC7" w14:textId="77777777" w:rsidR="005B791F" w:rsidRDefault="00000000">
      <w:pPr>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下列文件中的内容通过文中的规范性引用而构成本标准必不可少的条款。其中，注日期的引用文件，仅该日期对应的版本适用于本标准；不注日期的引用文件，其最新版本（包括所有的修改单）适用于本标准。</w:t>
      </w:r>
    </w:p>
    <w:p w14:paraId="5A63C6A1" w14:textId="77777777" w:rsidR="005B791F" w:rsidRDefault="00000000">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WS/T 661-2020 </w:t>
      </w:r>
      <w:r>
        <w:rPr>
          <w:rFonts w:ascii="Times New Roman" w:eastAsia="宋体" w:hAnsi="Times New Roman" w:cs="Times New Roman"/>
          <w:sz w:val="24"/>
          <w:szCs w:val="24"/>
        </w:rPr>
        <w:t>静脉血液标本采集指南</w:t>
      </w:r>
    </w:p>
    <w:p w14:paraId="40C7F870" w14:textId="77777777" w:rsidR="005B791F" w:rsidRDefault="00000000">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WS/T 408-2024 </w:t>
      </w:r>
      <w:r>
        <w:rPr>
          <w:rFonts w:ascii="Times New Roman" w:eastAsia="宋体" w:hAnsi="Times New Roman" w:cs="Times New Roman"/>
          <w:sz w:val="24"/>
          <w:szCs w:val="24"/>
        </w:rPr>
        <w:t>定量检验程序分析性能验证指南</w:t>
      </w:r>
    </w:p>
    <w:p w14:paraId="5292B462" w14:textId="77777777" w:rsidR="005B791F" w:rsidRDefault="00000000">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WS/T 641-2018 </w:t>
      </w:r>
      <w:r>
        <w:rPr>
          <w:rFonts w:ascii="Times New Roman" w:eastAsia="宋体" w:hAnsi="Times New Roman" w:cs="Times New Roman"/>
          <w:sz w:val="24"/>
          <w:szCs w:val="24"/>
        </w:rPr>
        <w:t>临床检验定量测定室内质量控制</w:t>
      </w:r>
    </w:p>
    <w:p w14:paraId="611EE951" w14:textId="77777777" w:rsidR="005B791F" w:rsidRDefault="00000000">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WS/T 804</w:t>
      </w:r>
      <w:r w:rsidR="007413E0">
        <w:rPr>
          <w:rFonts w:ascii="Times New Roman" w:eastAsia="宋体" w:hAnsi="Times New Roman" w:cs="Times New Roman"/>
          <w:sz w:val="24"/>
          <w:szCs w:val="24"/>
        </w:rPr>
        <w:t>-</w:t>
      </w:r>
      <w:r>
        <w:rPr>
          <w:rFonts w:ascii="Times New Roman" w:eastAsia="宋体" w:hAnsi="Times New Roman" w:cs="Times New Roman"/>
          <w:sz w:val="24"/>
          <w:szCs w:val="24"/>
        </w:rPr>
        <w:t xml:space="preserve">2022 </w:t>
      </w:r>
      <w:r>
        <w:rPr>
          <w:rFonts w:ascii="Times New Roman" w:eastAsia="宋体" w:hAnsi="Times New Roman" w:cs="Times New Roman"/>
          <w:sz w:val="24"/>
          <w:szCs w:val="24"/>
        </w:rPr>
        <w:t>临床化学检验基本技术标准</w:t>
      </w:r>
    </w:p>
    <w:p w14:paraId="79E9C0D5" w14:textId="77777777" w:rsidR="005B791F" w:rsidRDefault="00000000">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WS/T 402</w:t>
      </w:r>
      <w:r w:rsidR="007413E0">
        <w:rPr>
          <w:rFonts w:ascii="Times New Roman" w:eastAsia="宋体" w:hAnsi="Times New Roman" w:cs="Times New Roman"/>
          <w:sz w:val="24"/>
          <w:szCs w:val="24"/>
        </w:rPr>
        <w:t>-</w:t>
      </w:r>
      <w:r>
        <w:rPr>
          <w:rFonts w:ascii="Times New Roman" w:eastAsia="宋体" w:hAnsi="Times New Roman" w:cs="Times New Roman"/>
          <w:sz w:val="24"/>
          <w:szCs w:val="24"/>
        </w:rPr>
        <w:t>2024</w:t>
      </w:r>
      <w:r>
        <w:rPr>
          <w:rFonts w:ascii="Times New Roman" w:eastAsia="宋体" w:hAnsi="Times New Roman" w:cs="Times New Roman"/>
          <w:sz w:val="24"/>
          <w:szCs w:val="24"/>
        </w:rPr>
        <w:t>临床实验室定量检验项目参考区间的制定</w:t>
      </w:r>
    </w:p>
    <w:p w14:paraId="1797A79D" w14:textId="77777777" w:rsidR="005B791F" w:rsidRDefault="00000000" w:rsidP="0063766E">
      <w:pPr>
        <w:pStyle w:val="1"/>
        <w:rPr>
          <w:rFonts w:ascii="Times New Roman" w:eastAsia="宋体" w:hAnsi="Times New Roman" w:cs="Times New Roman"/>
          <w:b/>
          <w:bCs/>
          <w:sz w:val="24"/>
          <w:szCs w:val="24"/>
        </w:rPr>
      </w:pPr>
      <w:bookmarkStart w:id="5" w:name="_Toc210991462"/>
      <w:r>
        <w:rPr>
          <w:rFonts w:ascii="Times New Roman" w:eastAsia="宋体" w:hAnsi="Times New Roman" w:cs="Times New Roman"/>
          <w:b/>
          <w:bCs/>
          <w:sz w:val="24"/>
          <w:szCs w:val="24"/>
        </w:rPr>
        <w:t xml:space="preserve">3 </w:t>
      </w:r>
      <w:r>
        <w:rPr>
          <w:rFonts w:ascii="Times New Roman" w:eastAsia="宋体" w:hAnsi="Times New Roman" w:cs="Times New Roman"/>
          <w:b/>
          <w:bCs/>
          <w:sz w:val="24"/>
          <w:szCs w:val="24"/>
        </w:rPr>
        <w:t>术语与定义</w:t>
      </w:r>
      <w:bookmarkEnd w:id="5"/>
    </w:p>
    <w:p w14:paraId="3005EBCE" w14:textId="26D1C381" w:rsidR="005B791F" w:rsidRDefault="00000000">
      <w:pPr>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下列术语和定义适用于本标准。</w:t>
      </w:r>
    </w:p>
    <w:p w14:paraId="6E341965" w14:textId="77777777" w:rsidR="005B791F" w:rsidRDefault="0000000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 xml:space="preserve">3.1 </w:t>
      </w:r>
      <w:r>
        <w:rPr>
          <w:rFonts w:ascii="Times New Roman" w:eastAsia="宋体" w:hAnsi="Times New Roman" w:cs="Times New Roman"/>
          <w:b/>
          <w:bCs/>
          <w:sz w:val="24"/>
          <w:szCs w:val="24"/>
        </w:rPr>
        <w:t>抗磷脂抗体</w:t>
      </w:r>
      <w:r>
        <w:rPr>
          <w:rFonts w:ascii="Times New Roman" w:eastAsia="宋体" w:hAnsi="Times New Roman" w:cs="Times New Roman"/>
          <w:sz w:val="24"/>
          <w:szCs w:val="24"/>
        </w:rPr>
        <w:t>（</w:t>
      </w:r>
      <w:r>
        <w:rPr>
          <w:rFonts w:ascii="Times New Roman" w:eastAsia="宋体" w:hAnsi="Times New Roman" w:cs="Times New Roman"/>
          <w:sz w:val="24"/>
          <w:szCs w:val="24"/>
        </w:rPr>
        <w:t>antiphospholipid antibodies</w:t>
      </w:r>
      <w:r>
        <w:rPr>
          <w:rFonts w:ascii="Times New Roman" w:eastAsia="宋体" w:hAnsi="Times New Roman" w:cs="Times New Roman"/>
          <w:sz w:val="24"/>
          <w:szCs w:val="24"/>
        </w:rPr>
        <w:t>，</w:t>
      </w:r>
      <w:r>
        <w:rPr>
          <w:rFonts w:ascii="Times New Roman" w:eastAsia="宋体" w:hAnsi="Times New Roman" w:cs="Times New Roman"/>
          <w:sz w:val="24"/>
          <w:szCs w:val="24"/>
        </w:rPr>
        <w:t>aPL</w:t>
      </w:r>
      <w:r>
        <w:rPr>
          <w:rFonts w:ascii="Times New Roman" w:eastAsia="宋体" w:hAnsi="Times New Roman" w:cs="Times New Roman"/>
          <w:sz w:val="24"/>
          <w:szCs w:val="24"/>
        </w:rPr>
        <w:t>）是一组以磷脂和</w:t>
      </w:r>
      <w:r>
        <w:rPr>
          <w:rFonts w:ascii="Times New Roman" w:eastAsia="宋体" w:hAnsi="Times New Roman" w:cs="Times New Roman"/>
          <w:sz w:val="24"/>
          <w:szCs w:val="24"/>
        </w:rPr>
        <w:t>/</w:t>
      </w:r>
      <w:r>
        <w:rPr>
          <w:rFonts w:ascii="Times New Roman" w:eastAsia="宋体" w:hAnsi="Times New Roman" w:cs="Times New Roman"/>
          <w:sz w:val="24"/>
          <w:szCs w:val="24"/>
        </w:rPr>
        <w:t>或磷脂结合蛋白为靶抗原的自身抗体总称，包括狼疮抗凝物（</w:t>
      </w:r>
      <w:r>
        <w:rPr>
          <w:rFonts w:ascii="Times New Roman" w:eastAsia="宋体" w:hAnsi="Times New Roman" w:cs="Times New Roman"/>
          <w:sz w:val="24"/>
          <w:szCs w:val="24"/>
        </w:rPr>
        <w:t>lupus anticoagulant</w:t>
      </w:r>
      <w:r>
        <w:rPr>
          <w:rFonts w:ascii="Times New Roman" w:eastAsia="宋体" w:hAnsi="Times New Roman" w:cs="Times New Roman"/>
          <w:sz w:val="24"/>
          <w:szCs w:val="24"/>
        </w:rPr>
        <w:t>，</w:t>
      </w:r>
      <w:r>
        <w:rPr>
          <w:rFonts w:ascii="Times New Roman" w:eastAsia="宋体" w:hAnsi="Times New Roman" w:cs="Times New Roman"/>
          <w:sz w:val="24"/>
          <w:szCs w:val="24"/>
        </w:rPr>
        <w:t>LA</w:t>
      </w:r>
      <w:r>
        <w:rPr>
          <w:rFonts w:ascii="Times New Roman" w:eastAsia="宋体" w:hAnsi="Times New Roman" w:cs="Times New Roman"/>
          <w:sz w:val="24"/>
          <w:szCs w:val="24"/>
        </w:rPr>
        <w:t>）、</w:t>
      </w:r>
      <w:r>
        <w:rPr>
          <w:rFonts w:ascii="Times New Roman" w:eastAsia="宋体" w:hAnsi="Times New Roman" w:cs="Times New Roman"/>
          <w:sz w:val="24"/>
          <w:szCs w:val="24"/>
        </w:rPr>
        <w:t>IgG</w:t>
      </w:r>
      <w:r>
        <w:rPr>
          <w:rFonts w:ascii="Times New Roman" w:eastAsia="宋体" w:hAnsi="Times New Roman" w:cs="Times New Roman"/>
          <w:sz w:val="24"/>
          <w:szCs w:val="24"/>
        </w:rPr>
        <w:t>或</w:t>
      </w:r>
      <w:r>
        <w:rPr>
          <w:rFonts w:ascii="Times New Roman" w:eastAsia="宋体" w:hAnsi="Times New Roman" w:cs="Times New Roman"/>
          <w:sz w:val="24"/>
          <w:szCs w:val="24"/>
        </w:rPr>
        <w:t>IgM</w:t>
      </w:r>
      <w:r>
        <w:rPr>
          <w:rFonts w:ascii="Times New Roman" w:eastAsia="宋体" w:hAnsi="Times New Roman" w:cs="Times New Roman"/>
          <w:sz w:val="24"/>
          <w:szCs w:val="24"/>
        </w:rPr>
        <w:t>型抗心磷脂抗体（</w:t>
      </w:r>
      <w:r>
        <w:rPr>
          <w:rFonts w:ascii="Times New Roman" w:eastAsia="宋体" w:hAnsi="Times New Roman" w:cs="Times New Roman"/>
          <w:sz w:val="24"/>
          <w:szCs w:val="24"/>
        </w:rPr>
        <w:t>anticardiolipin antibodies</w:t>
      </w:r>
      <w:r>
        <w:rPr>
          <w:rFonts w:ascii="Times New Roman" w:eastAsia="宋体" w:hAnsi="Times New Roman" w:cs="Times New Roman"/>
          <w:sz w:val="24"/>
          <w:szCs w:val="24"/>
        </w:rPr>
        <w:t>，</w:t>
      </w:r>
      <w:r>
        <w:rPr>
          <w:rFonts w:ascii="Times New Roman" w:eastAsia="宋体" w:hAnsi="Times New Roman" w:cs="Times New Roman"/>
          <w:sz w:val="24"/>
          <w:szCs w:val="24"/>
        </w:rPr>
        <w:t>aCL</w:t>
      </w:r>
      <w:r>
        <w:rPr>
          <w:rFonts w:ascii="Times New Roman" w:eastAsia="宋体" w:hAnsi="Times New Roman" w:cs="Times New Roman"/>
          <w:sz w:val="24"/>
          <w:szCs w:val="24"/>
        </w:rPr>
        <w:t>）、</w:t>
      </w:r>
      <w:r>
        <w:rPr>
          <w:rFonts w:ascii="Times New Roman" w:eastAsia="宋体" w:hAnsi="Times New Roman" w:cs="Times New Roman"/>
          <w:sz w:val="24"/>
          <w:szCs w:val="24"/>
        </w:rPr>
        <w:t>IgG</w:t>
      </w:r>
      <w:r>
        <w:rPr>
          <w:rFonts w:ascii="Times New Roman" w:eastAsia="宋体" w:hAnsi="Times New Roman" w:cs="Times New Roman"/>
          <w:sz w:val="24"/>
          <w:szCs w:val="24"/>
        </w:rPr>
        <w:t>或</w:t>
      </w:r>
      <w:r>
        <w:rPr>
          <w:rFonts w:ascii="Times New Roman" w:eastAsia="宋体" w:hAnsi="Times New Roman" w:cs="Times New Roman"/>
          <w:sz w:val="24"/>
          <w:szCs w:val="24"/>
        </w:rPr>
        <w:t>IgM</w:t>
      </w:r>
      <w:r>
        <w:rPr>
          <w:rFonts w:ascii="Times New Roman" w:eastAsia="宋体" w:hAnsi="Times New Roman" w:cs="Times New Roman"/>
          <w:sz w:val="24"/>
          <w:szCs w:val="24"/>
        </w:rPr>
        <w:t>型抗</w:t>
      </w:r>
      <w:r>
        <w:rPr>
          <w:rFonts w:ascii="Times New Roman" w:eastAsia="宋体" w:hAnsi="Times New Roman" w:cs="Times New Roman"/>
          <w:sz w:val="24"/>
          <w:szCs w:val="24"/>
        </w:rPr>
        <w:t>β2</w:t>
      </w:r>
      <w:r>
        <w:rPr>
          <w:rFonts w:ascii="Times New Roman" w:eastAsia="宋体" w:hAnsi="Times New Roman" w:cs="Times New Roman"/>
          <w:sz w:val="24"/>
          <w:szCs w:val="24"/>
        </w:rPr>
        <w:t>糖蛋白</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ROMAN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I</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抗体（</w:t>
      </w:r>
      <w:r>
        <w:rPr>
          <w:rFonts w:ascii="Times New Roman" w:eastAsia="宋体" w:hAnsi="Times New Roman" w:cs="Times New Roman"/>
          <w:sz w:val="24"/>
          <w:szCs w:val="24"/>
        </w:rPr>
        <w:t>anti</w:t>
      </w:r>
      <w:r>
        <w:rPr>
          <w:rFonts w:ascii="Times New Roman" w:eastAsia="宋体" w:hAnsi="Times New Roman" w:cs="Times New Roman"/>
          <w:sz w:val="24"/>
          <w:szCs w:val="24"/>
        </w:rPr>
        <w:noBreakHyphen/>
        <w:t xml:space="preserve">β2 glycoprotein </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ROMAN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I</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 xml:space="preserve"> antibodies</w:t>
      </w:r>
      <w:r>
        <w:rPr>
          <w:rFonts w:ascii="Times New Roman" w:eastAsia="宋体" w:hAnsi="Times New Roman" w:cs="Times New Roman"/>
          <w:sz w:val="24"/>
          <w:szCs w:val="24"/>
        </w:rPr>
        <w:t>，</w:t>
      </w:r>
      <w:r>
        <w:rPr>
          <w:rFonts w:ascii="Times New Roman" w:eastAsia="宋体" w:hAnsi="Times New Roman" w:cs="Times New Roman"/>
          <w:sz w:val="24"/>
          <w:szCs w:val="24"/>
        </w:rPr>
        <w:t>aβ2GP</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ROMAN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I</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）及其他非</w:t>
      </w:r>
      <w:r>
        <w:rPr>
          <w:rFonts w:ascii="Times New Roman" w:eastAsia="宋体" w:hAnsi="Times New Roman" w:cs="Times New Roman" w:hint="eastAsia"/>
          <w:sz w:val="24"/>
          <w:szCs w:val="24"/>
        </w:rPr>
        <w:t>分类</w:t>
      </w:r>
      <w:r>
        <w:rPr>
          <w:rFonts w:ascii="Times New Roman" w:eastAsia="宋体" w:hAnsi="Times New Roman" w:cs="Times New Roman"/>
          <w:sz w:val="24"/>
          <w:szCs w:val="24"/>
        </w:rPr>
        <w:t>标准</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抗磷脂抗体谱等</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ADDIN NE.Ref.{381037F6-979A-483D-B45D-5F454161D697}</w:instrText>
      </w:r>
      <w:r>
        <w:rPr>
          <w:rFonts w:ascii="Times New Roman" w:eastAsia="宋体" w:hAnsi="Times New Roman" w:cs="Times New Roman"/>
          <w:sz w:val="24"/>
          <w:szCs w:val="24"/>
        </w:rPr>
        <w:fldChar w:fldCharType="separate"/>
      </w:r>
      <w:r>
        <w:rPr>
          <w:rFonts w:ascii="Times New Roman" w:eastAsia="宋体" w:hAnsi="Times New Roman" w:cs="Times New Roman"/>
          <w:color w:val="080000"/>
          <w:kern w:val="0"/>
          <w:sz w:val="24"/>
          <w:szCs w:val="24"/>
        </w:rPr>
        <w:t>[1</w:t>
      </w:r>
      <w:r>
        <w:rPr>
          <w:rFonts w:ascii="Times New Roman" w:eastAsia="宋体" w:hAnsi="Times New Roman" w:cs="Times New Roman" w:hint="eastAsia"/>
          <w:color w:val="080000"/>
          <w:kern w:val="0"/>
          <w:sz w:val="24"/>
          <w:szCs w:val="24"/>
        </w:rPr>
        <w:t>-2</w:t>
      </w:r>
      <w:r>
        <w:rPr>
          <w:rFonts w:ascii="Times New Roman" w:eastAsia="宋体" w:hAnsi="Times New Roman" w:cs="Times New Roman"/>
          <w:color w:val="080000"/>
          <w:kern w:val="0"/>
          <w:sz w:val="24"/>
          <w:szCs w:val="24"/>
        </w:rPr>
        <w:t>]</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w:t>
      </w:r>
    </w:p>
    <w:p w14:paraId="5FBF368B" w14:textId="1D0D94FE" w:rsidR="005B791F" w:rsidRDefault="0000000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 xml:space="preserve">3.2 </w:t>
      </w:r>
      <w:r>
        <w:rPr>
          <w:rFonts w:ascii="Times New Roman" w:eastAsia="宋体" w:hAnsi="Times New Roman" w:cs="Times New Roman"/>
          <w:b/>
          <w:bCs/>
          <w:sz w:val="24"/>
          <w:szCs w:val="24"/>
        </w:rPr>
        <w:t>抗磷脂综合征</w:t>
      </w:r>
      <w:r>
        <w:rPr>
          <w:rFonts w:ascii="Times New Roman" w:eastAsia="宋体" w:hAnsi="Times New Roman" w:cs="Times New Roman"/>
          <w:sz w:val="24"/>
          <w:szCs w:val="24"/>
        </w:rPr>
        <w:t>（</w:t>
      </w:r>
      <w:r>
        <w:rPr>
          <w:rFonts w:ascii="Times New Roman" w:eastAsia="宋体" w:hAnsi="Times New Roman" w:cs="Times New Roman"/>
          <w:sz w:val="24"/>
          <w:szCs w:val="24"/>
        </w:rPr>
        <w:t>antiphospholipid syndrome</w:t>
      </w:r>
      <w:r>
        <w:rPr>
          <w:rFonts w:ascii="Times New Roman" w:eastAsia="宋体" w:hAnsi="Times New Roman" w:cs="Times New Roman"/>
          <w:sz w:val="24"/>
          <w:szCs w:val="24"/>
        </w:rPr>
        <w:t>，</w:t>
      </w:r>
      <w:r>
        <w:rPr>
          <w:rFonts w:ascii="Times New Roman" w:eastAsia="宋体" w:hAnsi="Times New Roman" w:cs="Times New Roman"/>
          <w:sz w:val="24"/>
          <w:szCs w:val="24"/>
        </w:rPr>
        <w:t>APS</w:t>
      </w:r>
      <w:r>
        <w:rPr>
          <w:rFonts w:ascii="Times New Roman" w:eastAsia="宋体" w:hAnsi="Times New Roman" w:cs="Times New Roman"/>
          <w:sz w:val="24"/>
          <w:szCs w:val="24"/>
        </w:rPr>
        <w:t>）是一</w:t>
      </w:r>
      <w:r>
        <w:rPr>
          <w:rFonts w:ascii="Times New Roman" w:eastAsia="宋体" w:hAnsi="Times New Roman" w:cs="Times New Roman" w:hint="eastAsia"/>
          <w:sz w:val="24"/>
          <w:szCs w:val="24"/>
        </w:rPr>
        <w:t>种</w:t>
      </w:r>
      <w:r>
        <w:rPr>
          <w:rFonts w:ascii="Times New Roman" w:eastAsia="宋体" w:hAnsi="Times New Roman" w:cs="Times New Roman"/>
          <w:sz w:val="24"/>
          <w:szCs w:val="24"/>
        </w:rPr>
        <w:t>以动静脉血栓形成、</w:t>
      </w:r>
      <w:r>
        <w:rPr>
          <w:rFonts w:ascii="Times New Roman" w:eastAsia="宋体" w:hAnsi="Times New Roman" w:cs="Times New Roman" w:hint="eastAsia"/>
          <w:sz w:val="24"/>
          <w:szCs w:val="24"/>
        </w:rPr>
        <w:t>病态妊娠</w:t>
      </w:r>
      <w:r>
        <w:rPr>
          <w:rFonts w:ascii="Times New Roman" w:eastAsia="宋体" w:hAnsi="Times New Roman" w:cs="Times New Roman"/>
          <w:sz w:val="24"/>
          <w:szCs w:val="24"/>
        </w:rPr>
        <w:t>为</w:t>
      </w:r>
      <w:r>
        <w:rPr>
          <w:rFonts w:ascii="Times New Roman" w:eastAsia="宋体" w:hAnsi="Times New Roman" w:cs="Times New Roman" w:hint="eastAsia"/>
          <w:sz w:val="24"/>
          <w:szCs w:val="24"/>
        </w:rPr>
        <w:t>临床</w:t>
      </w:r>
      <w:r>
        <w:rPr>
          <w:rFonts w:ascii="Times New Roman" w:eastAsia="宋体" w:hAnsi="Times New Roman" w:cs="Times New Roman"/>
          <w:sz w:val="24"/>
          <w:szCs w:val="24"/>
        </w:rPr>
        <w:t>特征，并伴</w:t>
      </w:r>
      <w:r>
        <w:rPr>
          <w:rFonts w:ascii="Times New Roman" w:eastAsia="宋体" w:hAnsi="Times New Roman" w:cs="Times New Roman"/>
          <w:sz w:val="24"/>
          <w:szCs w:val="24"/>
        </w:rPr>
        <w:t>aPL</w:t>
      </w:r>
      <w:r>
        <w:rPr>
          <w:rFonts w:ascii="Times New Roman" w:eastAsia="宋体" w:hAnsi="Times New Roman" w:cs="Times New Roman"/>
          <w:sz w:val="24"/>
          <w:szCs w:val="24"/>
        </w:rPr>
        <w:t>或</w:t>
      </w:r>
      <w:r>
        <w:rPr>
          <w:rFonts w:ascii="Times New Roman" w:eastAsia="宋体" w:hAnsi="Times New Roman" w:cs="Times New Roman"/>
          <w:sz w:val="24"/>
          <w:szCs w:val="24"/>
        </w:rPr>
        <w:t>LA</w:t>
      </w:r>
      <w:r>
        <w:rPr>
          <w:rFonts w:ascii="Times New Roman" w:eastAsia="宋体" w:hAnsi="Times New Roman" w:cs="Times New Roman"/>
          <w:sz w:val="24"/>
          <w:szCs w:val="24"/>
        </w:rPr>
        <w:t>阳性的自身免疫性疾病。根据病因，</w:t>
      </w:r>
      <w:r>
        <w:rPr>
          <w:rFonts w:ascii="Times New Roman" w:eastAsia="宋体" w:hAnsi="Times New Roman" w:cs="Times New Roman"/>
          <w:sz w:val="24"/>
          <w:szCs w:val="24"/>
        </w:rPr>
        <w:t>APS</w:t>
      </w:r>
      <w:r>
        <w:rPr>
          <w:rFonts w:ascii="Times New Roman" w:eastAsia="宋体" w:hAnsi="Times New Roman" w:cs="Times New Roman"/>
          <w:sz w:val="24"/>
          <w:szCs w:val="24"/>
        </w:rPr>
        <w:t>可分为原发性</w:t>
      </w:r>
      <w:r>
        <w:rPr>
          <w:rFonts w:ascii="Times New Roman" w:eastAsia="宋体" w:hAnsi="Times New Roman" w:cs="Times New Roman"/>
          <w:sz w:val="24"/>
          <w:szCs w:val="24"/>
        </w:rPr>
        <w:t>APS</w:t>
      </w:r>
      <w:r>
        <w:rPr>
          <w:rFonts w:ascii="Times New Roman" w:eastAsia="宋体" w:hAnsi="Times New Roman" w:cs="Times New Roman"/>
          <w:sz w:val="24"/>
          <w:szCs w:val="24"/>
        </w:rPr>
        <w:t>和继发性</w:t>
      </w:r>
      <w:r>
        <w:rPr>
          <w:rFonts w:ascii="Times New Roman" w:eastAsia="宋体" w:hAnsi="Times New Roman" w:cs="Times New Roman"/>
          <w:sz w:val="24"/>
          <w:szCs w:val="24"/>
        </w:rPr>
        <w:t>APS</w:t>
      </w:r>
      <w:r>
        <w:rPr>
          <w:rFonts w:ascii="Times New Roman" w:eastAsia="宋体" w:hAnsi="Times New Roman" w:cs="Times New Roman"/>
          <w:sz w:val="24"/>
          <w:szCs w:val="24"/>
        </w:rPr>
        <w:t>。</w:t>
      </w:r>
      <w:r>
        <w:rPr>
          <w:rFonts w:ascii="Times New Roman" w:eastAsia="宋体" w:hAnsi="Times New Roman" w:cs="Times New Roman" w:hint="eastAsia"/>
          <w:sz w:val="24"/>
          <w:szCs w:val="24"/>
        </w:rPr>
        <w:t>继发性</w:t>
      </w:r>
      <w:r>
        <w:rPr>
          <w:rFonts w:ascii="Times New Roman" w:eastAsia="宋体" w:hAnsi="Times New Roman" w:cs="Times New Roman" w:hint="eastAsia"/>
          <w:sz w:val="24"/>
          <w:szCs w:val="24"/>
        </w:rPr>
        <w:t>APS</w:t>
      </w:r>
      <w:r>
        <w:rPr>
          <w:rFonts w:ascii="Times New Roman" w:eastAsia="宋体" w:hAnsi="Times New Roman" w:cs="Times New Roman" w:hint="eastAsia"/>
          <w:sz w:val="24"/>
          <w:szCs w:val="24"/>
        </w:rPr>
        <w:t>可与其他疾病并存</w:t>
      </w:r>
      <w:r>
        <w:rPr>
          <w:rFonts w:ascii="Times New Roman" w:eastAsia="宋体" w:hAnsi="Times New Roman" w:cs="Times New Roman"/>
          <w:sz w:val="24"/>
          <w:szCs w:val="24"/>
        </w:rPr>
        <w:t>，</w:t>
      </w:r>
      <w:r>
        <w:rPr>
          <w:rFonts w:ascii="Times New Roman" w:eastAsia="宋体" w:hAnsi="Times New Roman" w:cs="Times New Roman" w:hint="eastAsia"/>
          <w:sz w:val="24"/>
          <w:szCs w:val="24"/>
        </w:rPr>
        <w:t>可见于</w:t>
      </w:r>
      <w:r>
        <w:rPr>
          <w:rFonts w:ascii="Times New Roman" w:eastAsia="宋体" w:hAnsi="Times New Roman" w:cs="Times New Roman"/>
          <w:sz w:val="24"/>
          <w:szCs w:val="24"/>
        </w:rPr>
        <w:t>其他自身免疫性疾病、病毒感染和药物诱导等，尤其多见于系统性红斑</w:t>
      </w:r>
      <w:r>
        <w:rPr>
          <w:rFonts w:ascii="Times New Roman" w:eastAsia="宋体" w:hAnsi="Times New Roman" w:cs="Times New Roman"/>
          <w:sz w:val="24"/>
          <w:szCs w:val="24"/>
        </w:rPr>
        <w:lastRenderedPageBreak/>
        <w:t>狼疮（</w:t>
      </w:r>
      <w:r>
        <w:rPr>
          <w:rFonts w:ascii="Times New Roman" w:eastAsia="宋体" w:hAnsi="Times New Roman" w:cs="Times New Roman"/>
          <w:sz w:val="24"/>
          <w:szCs w:val="24"/>
        </w:rPr>
        <w:t>systemic lupus erythematosus</w:t>
      </w:r>
      <w:r>
        <w:rPr>
          <w:rFonts w:ascii="Times New Roman" w:eastAsia="宋体" w:hAnsi="Times New Roman" w:cs="Times New Roman"/>
          <w:sz w:val="24"/>
          <w:szCs w:val="24"/>
        </w:rPr>
        <w:t>，</w:t>
      </w:r>
      <w:r>
        <w:rPr>
          <w:rFonts w:ascii="Times New Roman" w:eastAsia="宋体" w:hAnsi="Times New Roman" w:cs="Times New Roman"/>
          <w:sz w:val="24"/>
          <w:szCs w:val="24"/>
        </w:rPr>
        <w:t>SLE</w:t>
      </w:r>
      <w:r>
        <w:rPr>
          <w:rFonts w:ascii="Times New Roman" w:eastAsia="宋体" w:hAnsi="Times New Roman" w:cs="Times New Roman"/>
          <w:sz w:val="24"/>
          <w:szCs w:val="24"/>
        </w:rPr>
        <w:t>）</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ADDIN NE.Ref.{AB024AA3-C010-4C84-AA7E-C7DB33C2B224}</w:instrText>
      </w:r>
      <w:r>
        <w:rPr>
          <w:rFonts w:ascii="Times New Roman" w:eastAsia="宋体" w:hAnsi="Times New Roman" w:cs="Times New Roman"/>
          <w:sz w:val="24"/>
          <w:szCs w:val="24"/>
        </w:rPr>
        <w:fldChar w:fldCharType="separate"/>
      </w:r>
      <w:r>
        <w:rPr>
          <w:rFonts w:ascii="Times New Roman" w:eastAsia="宋体" w:hAnsi="Times New Roman" w:cs="Times New Roman"/>
          <w:color w:val="080000"/>
          <w:kern w:val="0"/>
          <w:sz w:val="24"/>
          <w:szCs w:val="24"/>
        </w:rPr>
        <w:t>[</w:t>
      </w:r>
      <w:r>
        <w:rPr>
          <w:rFonts w:ascii="Times New Roman" w:eastAsia="宋体" w:hAnsi="Times New Roman" w:cs="Times New Roman" w:hint="eastAsia"/>
          <w:color w:val="080000"/>
          <w:kern w:val="0"/>
          <w:sz w:val="24"/>
          <w:szCs w:val="24"/>
        </w:rPr>
        <w:t>3-6</w:t>
      </w:r>
      <w:r>
        <w:rPr>
          <w:rFonts w:ascii="Times New Roman" w:eastAsia="宋体" w:hAnsi="Times New Roman" w:cs="Times New Roman"/>
          <w:color w:val="080000"/>
          <w:kern w:val="0"/>
          <w:sz w:val="24"/>
          <w:szCs w:val="24"/>
        </w:rPr>
        <w:t>]</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w:t>
      </w:r>
      <w:r>
        <w:rPr>
          <w:rFonts w:ascii="Times New Roman" w:eastAsia="宋体" w:hAnsi="Times New Roman" w:cs="Times New Roman" w:hint="eastAsia"/>
          <w:sz w:val="24"/>
          <w:szCs w:val="24"/>
        </w:rPr>
        <w:t>分类</w:t>
      </w:r>
      <w:r>
        <w:rPr>
          <w:rFonts w:ascii="Times New Roman" w:eastAsia="宋体" w:hAnsi="Times New Roman" w:cs="Times New Roman"/>
          <w:sz w:val="24"/>
          <w:szCs w:val="24"/>
        </w:rPr>
        <w:t>标准</w:t>
      </w:r>
      <w:r>
        <w:rPr>
          <w:rFonts w:ascii="Times New Roman" w:eastAsia="宋体" w:hAnsi="Times New Roman" w:cs="Times New Roman"/>
          <w:sz w:val="24"/>
          <w:szCs w:val="24"/>
        </w:rPr>
        <w:t>aPL</w:t>
      </w:r>
      <w:r>
        <w:rPr>
          <w:rFonts w:ascii="Times New Roman" w:eastAsia="宋体" w:hAnsi="Times New Roman" w:cs="Times New Roman"/>
          <w:sz w:val="24"/>
          <w:szCs w:val="24"/>
        </w:rPr>
        <w:t>包括</w:t>
      </w:r>
      <w:r>
        <w:rPr>
          <w:rFonts w:ascii="Times New Roman" w:eastAsia="宋体" w:hAnsi="Times New Roman" w:cs="Times New Roman"/>
          <w:sz w:val="24"/>
          <w:szCs w:val="24"/>
        </w:rPr>
        <w:t>LA</w:t>
      </w:r>
      <w:r>
        <w:rPr>
          <w:rFonts w:ascii="Times New Roman" w:eastAsia="宋体" w:hAnsi="Times New Roman" w:cs="Times New Roman"/>
          <w:sz w:val="24"/>
          <w:szCs w:val="24"/>
        </w:rPr>
        <w:t>、</w:t>
      </w:r>
      <w:r>
        <w:rPr>
          <w:rFonts w:ascii="Times New Roman" w:eastAsia="宋体" w:hAnsi="Times New Roman" w:cs="Times New Roman"/>
          <w:sz w:val="24"/>
          <w:szCs w:val="24"/>
        </w:rPr>
        <w:t>IgG</w:t>
      </w:r>
      <w:r>
        <w:rPr>
          <w:rFonts w:ascii="Times New Roman" w:eastAsia="宋体" w:hAnsi="Times New Roman" w:cs="Times New Roman"/>
          <w:sz w:val="24"/>
          <w:szCs w:val="24"/>
        </w:rPr>
        <w:t>或</w:t>
      </w:r>
      <w:r>
        <w:rPr>
          <w:rFonts w:ascii="Times New Roman" w:eastAsia="宋体" w:hAnsi="Times New Roman" w:cs="Times New Roman"/>
          <w:sz w:val="24"/>
          <w:szCs w:val="24"/>
        </w:rPr>
        <w:t>IgM</w:t>
      </w:r>
      <w:r>
        <w:rPr>
          <w:rFonts w:ascii="Times New Roman" w:eastAsia="宋体" w:hAnsi="Times New Roman" w:cs="Times New Roman"/>
          <w:sz w:val="24"/>
          <w:szCs w:val="24"/>
        </w:rPr>
        <w:t>型</w:t>
      </w:r>
      <w:r>
        <w:rPr>
          <w:rFonts w:ascii="Times New Roman" w:eastAsia="宋体" w:hAnsi="Times New Roman" w:cs="Times New Roman"/>
          <w:sz w:val="24"/>
          <w:szCs w:val="24"/>
        </w:rPr>
        <w:t>aCL</w:t>
      </w:r>
      <w:r>
        <w:rPr>
          <w:rFonts w:ascii="Times New Roman" w:eastAsia="宋体" w:hAnsi="Times New Roman" w:cs="Times New Roman"/>
          <w:sz w:val="24"/>
          <w:szCs w:val="24"/>
        </w:rPr>
        <w:t>、</w:t>
      </w:r>
      <w:r>
        <w:rPr>
          <w:rFonts w:ascii="Times New Roman" w:eastAsia="宋体" w:hAnsi="Times New Roman" w:cs="Times New Roman"/>
          <w:sz w:val="24"/>
          <w:szCs w:val="24"/>
        </w:rPr>
        <w:t>IgG</w:t>
      </w:r>
      <w:r>
        <w:rPr>
          <w:rFonts w:ascii="Times New Roman" w:eastAsia="宋体" w:hAnsi="Times New Roman" w:cs="Times New Roman"/>
          <w:sz w:val="24"/>
          <w:szCs w:val="24"/>
        </w:rPr>
        <w:t>或</w:t>
      </w:r>
      <w:r>
        <w:rPr>
          <w:rFonts w:ascii="Times New Roman" w:eastAsia="宋体" w:hAnsi="Times New Roman" w:cs="Times New Roman"/>
          <w:sz w:val="24"/>
          <w:szCs w:val="24"/>
        </w:rPr>
        <w:t>IgM</w:t>
      </w:r>
      <w:r>
        <w:rPr>
          <w:rFonts w:ascii="Times New Roman" w:eastAsia="宋体" w:hAnsi="Times New Roman" w:cs="Times New Roman"/>
          <w:sz w:val="24"/>
          <w:szCs w:val="24"/>
        </w:rPr>
        <w:t>型</w:t>
      </w:r>
      <w:r>
        <w:rPr>
          <w:rFonts w:ascii="Times New Roman" w:eastAsia="宋体" w:hAnsi="Times New Roman" w:cs="Times New Roman"/>
          <w:sz w:val="24"/>
          <w:szCs w:val="24"/>
        </w:rPr>
        <w:t>aβ2GP</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ROMAN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I</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，是</w:t>
      </w:r>
      <w:r>
        <w:rPr>
          <w:rFonts w:ascii="Times New Roman" w:eastAsia="宋体" w:hAnsi="Times New Roman" w:cs="Times New Roman"/>
          <w:sz w:val="24"/>
          <w:szCs w:val="24"/>
        </w:rPr>
        <w:t>APS</w:t>
      </w:r>
      <w:r>
        <w:rPr>
          <w:rFonts w:ascii="Times New Roman" w:eastAsia="宋体" w:hAnsi="Times New Roman" w:cs="Times New Roman"/>
          <w:sz w:val="24"/>
          <w:szCs w:val="24"/>
        </w:rPr>
        <w:t>的重要生物标志物，可用于临床诊断、风险评估和指导治疗</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ADDIN NE.Ref.{FF07BA58-F9BB-4D76-9084-F96EEA36701C}</w:instrText>
      </w:r>
      <w:r>
        <w:rPr>
          <w:rFonts w:ascii="Times New Roman" w:eastAsia="宋体" w:hAnsi="Times New Roman" w:cs="Times New Roman"/>
          <w:sz w:val="24"/>
          <w:szCs w:val="24"/>
        </w:rPr>
        <w:fldChar w:fldCharType="separate"/>
      </w:r>
      <w:r>
        <w:rPr>
          <w:rFonts w:ascii="Times New Roman" w:eastAsia="宋体" w:hAnsi="Times New Roman" w:cs="Times New Roman"/>
          <w:color w:val="080000"/>
          <w:kern w:val="0"/>
          <w:sz w:val="24"/>
          <w:szCs w:val="24"/>
        </w:rPr>
        <w:t>[1]</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。本标准主要介绍</w:t>
      </w:r>
      <w:r>
        <w:rPr>
          <w:rFonts w:ascii="Times New Roman" w:eastAsia="宋体" w:hAnsi="Times New Roman" w:cs="Times New Roman"/>
          <w:sz w:val="24"/>
          <w:szCs w:val="24"/>
        </w:rPr>
        <w:t>IgG</w:t>
      </w:r>
      <w:r>
        <w:rPr>
          <w:rFonts w:ascii="Times New Roman" w:eastAsia="宋体" w:hAnsi="Times New Roman" w:cs="Times New Roman"/>
          <w:sz w:val="24"/>
          <w:szCs w:val="24"/>
        </w:rPr>
        <w:t>或</w:t>
      </w:r>
      <w:r>
        <w:rPr>
          <w:rFonts w:ascii="Times New Roman" w:eastAsia="宋体" w:hAnsi="Times New Roman" w:cs="Times New Roman"/>
          <w:sz w:val="24"/>
          <w:szCs w:val="24"/>
        </w:rPr>
        <w:t>IgM</w:t>
      </w:r>
      <w:r>
        <w:rPr>
          <w:rFonts w:ascii="Times New Roman" w:eastAsia="宋体" w:hAnsi="Times New Roman" w:cs="Times New Roman"/>
          <w:sz w:val="24"/>
          <w:szCs w:val="24"/>
        </w:rPr>
        <w:t>型</w:t>
      </w:r>
      <w:r>
        <w:rPr>
          <w:rFonts w:ascii="Times New Roman" w:eastAsia="宋体" w:hAnsi="Times New Roman" w:cs="Times New Roman"/>
          <w:sz w:val="24"/>
          <w:szCs w:val="24"/>
        </w:rPr>
        <w:t>aCL</w:t>
      </w:r>
      <w:r>
        <w:rPr>
          <w:rFonts w:ascii="Times New Roman" w:eastAsia="宋体" w:hAnsi="Times New Roman" w:cs="Times New Roman"/>
          <w:sz w:val="24"/>
          <w:szCs w:val="24"/>
        </w:rPr>
        <w:t>、</w:t>
      </w:r>
      <w:r>
        <w:rPr>
          <w:rFonts w:ascii="Times New Roman" w:eastAsia="宋体" w:hAnsi="Times New Roman" w:cs="Times New Roman"/>
          <w:sz w:val="24"/>
          <w:szCs w:val="24"/>
        </w:rPr>
        <w:t>IgG</w:t>
      </w:r>
      <w:r>
        <w:rPr>
          <w:rFonts w:ascii="Times New Roman" w:eastAsia="宋体" w:hAnsi="Times New Roman" w:cs="Times New Roman"/>
          <w:sz w:val="24"/>
          <w:szCs w:val="24"/>
        </w:rPr>
        <w:t>或</w:t>
      </w:r>
      <w:r>
        <w:rPr>
          <w:rFonts w:ascii="Times New Roman" w:eastAsia="宋体" w:hAnsi="Times New Roman" w:cs="Times New Roman"/>
          <w:sz w:val="24"/>
          <w:szCs w:val="24"/>
        </w:rPr>
        <w:t>IgM</w:t>
      </w:r>
      <w:r>
        <w:rPr>
          <w:rFonts w:ascii="Times New Roman" w:eastAsia="宋体" w:hAnsi="Times New Roman" w:cs="Times New Roman"/>
          <w:sz w:val="24"/>
          <w:szCs w:val="24"/>
        </w:rPr>
        <w:t>型</w:t>
      </w:r>
      <w:r>
        <w:rPr>
          <w:rFonts w:ascii="Times New Roman" w:eastAsia="宋体" w:hAnsi="Times New Roman" w:cs="Times New Roman"/>
          <w:sz w:val="24"/>
          <w:szCs w:val="24"/>
        </w:rPr>
        <w:t>aβ2GP</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ROMAN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I</w:t>
      </w:r>
      <w:r>
        <w:rPr>
          <w:rFonts w:ascii="Times New Roman" w:eastAsia="宋体" w:hAnsi="Times New Roman" w:cs="Times New Roman"/>
          <w:sz w:val="24"/>
          <w:szCs w:val="24"/>
        </w:rPr>
        <w:fldChar w:fldCharType="end"/>
      </w:r>
      <w:r>
        <w:rPr>
          <w:rFonts w:ascii="Times New Roman" w:eastAsia="宋体" w:hAnsi="Times New Roman" w:cs="Times New Roman" w:hint="eastAsia"/>
          <w:sz w:val="24"/>
          <w:szCs w:val="24"/>
        </w:rPr>
        <w:t>的实验室检测要求</w:t>
      </w:r>
      <w:r>
        <w:rPr>
          <w:rFonts w:ascii="Times New Roman" w:eastAsia="宋体" w:hAnsi="Times New Roman" w:cs="Times New Roman"/>
          <w:sz w:val="24"/>
          <w:szCs w:val="24"/>
        </w:rPr>
        <w:t>。</w:t>
      </w:r>
    </w:p>
    <w:p w14:paraId="459C6044" w14:textId="77777777" w:rsidR="005B791F" w:rsidRDefault="00000000" w:rsidP="0063766E">
      <w:pPr>
        <w:pStyle w:val="1"/>
        <w:rPr>
          <w:rFonts w:ascii="Times New Roman" w:eastAsia="宋体" w:hAnsi="Times New Roman" w:cs="Times New Roman"/>
          <w:b/>
          <w:bCs/>
          <w:sz w:val="24"/>
          <w:szCs w:val="24"/>
        </w:rPr>
      </w:pPr>
      <w:bookmarkStart w:id="6" w:name="_Toc210991463"/>
      <w:r>
        <w:rPr>
          <w:rFonts w:ascii="Times New Roman" w:eastAsia="宋体" w:hAnsi="Times New Roman" w:cs="Times New Roman"/>
          <w:b/>
          <w:bCs/>
          <w:sz w:val="24"/>
          <w:szCs w:val="24"/>
        </w:rPr>
        <w:t xml:space="preserve">4 </w:t>
      </w:r>
      <w:r>
        <w:rPr>
          <w:rFonts w:ascii="Times New Roman" w:eastAsia="宋体" w:hAnsi="Times New Roman" w:cs="Times New Roman"/>
          <w:b/>
          <w:bCs/>
          <w:sz w:val="24"/>
          <w:szCs w:val="24"/>
        </w:rPr>
        <w:t>检测原理与方法</w:t>
      </w:r>
      <w:bookmarkEnd w:id="6"/>
    </w:p>
    <w:p w14:paraId="1B25EE84" w14:textId="77777777" w:rsidR="005B791F" w:rsidRDefault="00000000">
      <w:pPr>
        <w:spacing w:line="360" w:lineRule="auto"/>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4.1 </w:t>
      </w:r>
      <w:r>
        <w:rPr>
          <w:rFonts w:ascii="Times New Roman" w:eastAsia="宋体" w:hAnsi="Times New Roman" w:cs="Times New Roman"/>
          <w:b/>
          <w:bCs/>
          <w:sz w:val="24"/>
          <w:szCs w:val="24"/>
        </w:rPr>
        <w:t>原理</w:t>
      </w:r>
    </w:p>
    <w:p w14:paraId="193C0151" w14:textId="77777777" w:rsidR="005B791F" w:rsidRDefault="00000000">
      <w:pPr>
        <w:spacing w:line="360" w:lineRule="auto"/>
        <w:ind w:firstLine="420"/>
        <w:rPr>
          <w:rFonts w:ascii="Times New Roman" w:hAnsi="Times New Roman" w:cs="Times New Roman"/>
          <w:color w:val="EE0000"/>
        </w:rPr>
      </w:pPr>
      <w:r>
        <w:rPr>
          <w:rFonts w:ascii="Times New Roman" w:eastAsia="宋体" w:hAnsi="Times New Roman" w:cs="Times New Roman"/>
          <w:sz w:val="24"/>
          <w:szCs w:val="24"/>
        </w:rPr>
        <w:t>aCL</w:t>
      </w:r>
      <w:r>
        <w:rPr>
          <w:rFonts w:ascii="Times New Roman" w:eastAsia="宋体" w:hAnsi="Times New Roman" w:cs="Times New Roman"/>
          <w:sz w:val="24"/>
          <w:szCs w:val="24"/>
        </w:rPr>
        <w:t>和</w:t>
      </w:r>
      <w:r>
        <w:rPr>
          <w:rFonts w:ascii="Times New Roman" w:eastAsia="宋体" w:hAnsi="Times New Roman" w:cs="Times New Roman"/>
          <w:sz w:val="24"/>
          <w:szCs w:val="24"/>
        </w:rPr>
        <w:t>aβ2GP</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ROMAN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I</w:t>
      </w:r>
      <w:r>
        <w:rPr>
          <w:rFonts w:ascii="Times New Roman" w:eastAsia="宋体" w:hAnsi="Times New Roman" w:cs="Times New Roman"/>
          <w:sz w:val="24"/>
          <w:szCs w:val="24"/>
        </w:rPr>
        <w:fldChar w:fldCharType="end"/>
      </w:r>
      <w:r>
        <w:rPr>
          <w:rFonts w:ascii="Times New Roman" w:eastAsia="宋体" w:hAnsi="Times New Roman" w:cs="Times New Roman" w:hint="eastAsia"/>
          <w:sz w:val="24"/>
          <w:szCs w:val="24"/>
        </w:rPr>
        <w:t>的</w:t>
      </w:r>
      <w:r>
        <w:rPr>
          <w:rFonts w:ascii="Times New Roman" w:eastAsia="宋体" w:hAnsi="Times New Roman" w:cs="Times New Roman"/>
          <w:sz w:val="24"/>
          <w:szCs w:val="24"/>
        </w:rPr>
        <w:t>检测基于固相免疫</w:t>
      </w:r>
      <w:r>
        <w:rPr>
          <w:rFonts w:ascii="Times New Roman" w:eastAsia="宋体" w:hAnsi="Times New Roman" w:cs="Times New Roman" w:hint="eastAsia"/>
          <w:sz w:val="24"/>
          <w:szCs w:val="24"/>
        </w:rPr>
        <w:t>分析原理</w:t>
      </w:r>
      <w:r>
        <w:rPr>
          <w:rFonts w:ascii="Times New Roman" w:eastAsia="宋体" w:hAnsi="Times New Roman" w:cs="Times New Roman"/>
          <w:sz w:val="24"/>
          <w:szCs w:val="24"/>
        </w:rPr>
        <w:t>。该原理的本质是利用抗原</w:t>
      </w:r>
      <w:r>
        <w:rPr>
          <w:rFonts w:ascii="Times New Roman" w:eastAsia="宋体" w:hAnsi="Times New Roman" w:cs="Times New Roman"/>
          <w:sz w:val="24"/>
          <w:szCs w:val="24"/>
        </w:rPr>
        <w:t>-</w:t>
      </w:r>
      <w:r>
        <w:rPr>
          <w:rFonts w:ascii="Times New Roman" w:eastAsia="宋体" w:hAnsi="Times New Roman" w:cs="Times New Roman"/>
          <w:sz w:val="24"/>
          <w:szCs w:val="24"/>
        </w:rPr>
        <w:t>抗体特异性结合反应，先用固相载体包被抗原，随后血清中抗体与固相抗原结合，通过标记物识别抗原</w:t>
      </w:r>
      <w:r>
        <w:rPr>
          <w:rFonts w:ascii="Times New Roman" w:eastAsia="宋体" w:hAnsi="Times New Roman" w:cs="Times New Roman"/>
          <w:sz w:val="24"/>
          <w:szCs w:val="24"/>
        </w:rPr>
        <w:t>-</w:t>
      </w:r>
      <w:r>
        <w:rPr>
          <w:rFonts w:ascii="Times New Roman" w:eastAsia="宋体" w:hAnsi="Times New Roman" w:cs="Times New Roman"/>
          <w:sz w:val="24"/>
          <w:szCs w:val="24"/>
        </w:rPr>
        <w:t>抗体复合物，并通过信号放大系统</w:t>
      </w:r>
      <w:r>
        <w:rPr>
          <w:rFonts w:ascii="Times New Roman" w:eastAsia="宋体" w:hAnsi="Times New Roman" w:cs="Times New Roman" w:hint="eastAsia"/>
          <w:sz w:val="24"/>
          <w:szCs w:val="24"/>
        </w:rPr>
        <w:t>检测信号物质的强度实现对待测物的定量或定性分析</w:t>
      </w:r>
      <w:r>
        <w:rPr>
          <w:rFonts w:ascii="Times New Roman" w:eastAsia="宋体" w:hAnsi="Times New Roman" w:cs="Times New Roman"/>
          <w:sz w:val="24"/>
          <w:szCs w:val="24"/>
        </w:rPr>
        <w:t>。</w:t>
      </w:r>
    </w:p>
    <w:p w14:paraId="2E0B3F38" w14:textId="77777777" w:rsidR="005B791F" w:rsidRDefault="00000000">
      <w:pPr>
        <w:spacing w:line="360" w:lineRule="auto"/>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4.2 </w:t>
      </w:r>
      <w:r>
        <w:rPr>
          <w:rFonts w:ascii="Times New Roman" w:eastAsia="宋体" w:hAnsi="Times New Roman" w:cs="Times New Roman"/>
          <w:b/>
          <w:bCs/>
          <w:sz w:val="24"/>
          <w:szCs w:val="24"/>
        </w:rPr>
        <w:t>方法</w:t>
      </w:r>
    </w:p>
    <w:p w14:paraId="00850311" w14:textId="4F625D23" w:rsidR="005B791F" w:rsidRDefault="00000000">
      <w:pPr>
        <w:spacing w:line="360" w:lineRule="auto"/>
        <w:ind w:firstLine="360"/>
        <w:jc w:val="left"/>
        <w:rPr>
          <w:rFonts w:ascii="Times New Roman" w:eastAsia="宋体" w:hAnsi="Times New Roman" w:cs="Times New Roman"/>
          <w:sz w:val="24"/>
          <w:szCs w:val="24"/>
        </w:rPr>
      </w:pPr>
      <w:r>
        <w:rPr>
          <w:rFonts w:ascii="Times New Roman" w:eastAsia="宋体" w:hAnsi="Times New Roman" w:cs="Times New Roman"/>
          <w:sz w:val="24"/>
          <w:szCs w:val="24"/>
        </w:rPr>
        <w:t>酶联免疫吸附法（</w:t>
      </w:r>
      <w:r>
        <w:rPr>
          <w:rFonts w:ascii="Times New Roman" w:eastAsia="宋体" w:hAnsi="Times New Roman" w:cs="Times New Roman"/>
          <w:sz w:val="24"/>
          <w:szCs w:val="24"/>
        </w:rPr>
        <w:t>enzyme-linked immunosorbent assay</w:t>
      </w:r>
      <w:r>
        <w:rPr>
          <w:rFonts w:ascii="Times New Roman" w:eastAsia="宋体" w:hAnsi="Times New Roman" w:cs="Times New Roman"/>
          <w:sz w:val="24"/>
          <w:szCs w:val="24"/>
        </w:rPr>
        <w:t>，</w:t>
      </w:r>
      <w:r>
        <w:rPr>
          <w:rFonts w:ascii="Times New Roman" w:eastAsia="宋体" w:hAnsi="Times New Roman" w:cs="Times New Roman"/>
          <w:sz w:val="24"/>
          <w:szCs w:val="24"/>
        </w:rPr>
        <w:t>ELISA</w:t>
      </w:r>
      <w:r>
        <w:rPr>
          <w:rFonts w:ascii="Times New Roman" w:eastAsia="宋体" w:hAnsi="Times New Roman" w:cs="Times New Roman"/>
          <w:sz w:val="24"/>
          <w:szCs w:val="24"/>
        </w:rPr>
        <w:t>）是</w:t>
      </w:r>
      <w:r>
        <w:rPr>
          <w:rFonts w:ascii="Times New Roman" w:eastAsia="宋体" w:hAnsi="Times New Roman" w:cs="Times New Roman"/>
          <w:sz w:val="24"/>
          <w:szCs w:val="24"/>
        </w:rPr>
        <w:t>aCL</w:t>
      </w:r>
      <w:r>
        <w:rPr>
          <w:rFonts w:ascii="Times New Roman" w:eastAsia="宋体" w:hAnsi="Times New Roman" w:cs="Times New Roman"/>
          <w:sz w:val="24"/>
          <w:szCs w:val="24"/>
        </w:rPr>
        <w:t>和</w:t>
      </w:r>
      <w:r>
        <w:rPr>
          <w:rFonts w:ascii="Times New Roman" w:eastAsia="宋体" w:hAnsi="Times New Roman" w:cs="Times New Roman"/>
          <w:sz w:val="24"/>
          <w:szCs w:val="24"/>
        </w:rPr>
        <w:t>aβ2GP</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ROMAN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I</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的检测最常见的方法。随着</w:t>
      </w:r>
      <w:r>
        <w:rPr>
          <w:rFonts w:ascii="Times New Roman" w:eastAsia="宋体" w:hAnsi="Times New Roman" w:cs="Times New Roman" w:hint="eastAsia"/>
          <w:sz w:val="24"/>
          <w:szCs w:val="24"/>
        </w:rPr>
        <w:t>分子生物</w:t>
      </w:r>
      <w:r>
        <w:rPr>
          <w:rFonts w:ascii="Times New Roman" w:eastAsia="宋体" w:hAnsi="Times New Roman" w:cs="Times New Roman"/>
          <w:sz w:val="24"/>
          <w:szCs w:val="24"/>
        </w:rPr>
        <w:t>和自动化技术的发展，</w:t>
      </w:r>
      <w:r>
        <w:rPr>
          <w:rFonts w:ascii="Times New Roman" w:eastAsia="宋体" w:hAnsi="Times New Roman" w:cs="Times New Roman"/>
          <w:sz w:val="24"/>
          <w:szCs w:val="24"/>
        </w:rPr>
        <w:t>aCL</w:t>
      </w:r>
      <w:r>
        <w:rPr>
          <w:rFonts w:ascii="Times New Roman" w:eastAsia="宋体" w:hAnsi="Times New Roman" w:cs="Times New Roman"/>
          <w:sz w:val="24"/>
          <w:szCs w:val="24"/>
        </w:rPr>
        <w:t>和</w:t>
      </w:r>
      <w:r>
        <w:rPr>
          <w:rFonts w:ascii="Times New Roman" w:eastAsia="宋体" w:hAnsi="Times New Roman" w:cs="Times New Roman"/>
          <w:sz w:val="24"/>
          <w:szCs w:val="24"/>
        </w:rPr>
        <w:t>aβ2GPI</w:t>
      </w:r>
      <w:r>
        <w:rPr>
          <w:rFonts w:ascii="Times New Roman" w:eastAsia="宋体" w:hAnsi="Times New Roman" w:cs="Times New Roman"/>
          <w:sz w:val="24"/>
          <w:szCs w:val="24"/>
        </w:rPr>
        <w:t>检测</w:t>
      </w:r>
      <w:r>
        <w:rPr>
          <w:rFonts w:ascii="Times New Roman" w:eastAsia="宋体" w:hAnsi="Times New Roman" w:cs="Times New Roman" w:hint="eastAsia"/>
          <w:sz w:val="24"/>
          <w:szCs w:val="24"/>
        </w:rPr>
        <w:t>逐渐应用</w:t>
      </w:r>
      <w:r>
        <w:rPr>
          <w:rFonts w:ascii="Times New Roman" w:eastAsia="宋体" w:hAnsi="Times New Roman" w:cs="Times New Roman"/>
          <w:sz w:val="24"/>
          <w:szCs w:val="24"/>
        </w:rPr>
        <w:t>新技术及自动化平台，包括化学发光法（</w:t>
      </w:r>
      <w:r>
        <w:rPr>
          <w:rFonts w:ascii="Times New Roman" w:eastAsia="宋体" w:hAnsi="Times New Roman" w:cs="Times New Roman"/>
          <w:sz w:val="24"/>
          <w:szCs w:val="24"/>
        </w:rPr>
        <w:t>chemiluminescence</w:t>
      </w:r>
      <w:r>
        <w:rPr>
          <w:rFonts w:ascii="Times New Roman" w:eastAsia="宋体" w:hAnsi="Times New Roman" w:cs="Times New Roman"/>
          <w:sz w:val="24"/>
          <w:szCs w:val="24"/>
        </w:rPr>
        <w:t>，</w:t>
      </w:r>
      <w:r>
        <w:rPr>
          <w:rFonts w:ascii="Times New Roman" w:eastAsia="宋体" w:hAnsi="Times New Roman" w:cs="Times New Roman"/>
          <w:sz w:val="24"/>
          <w:szCs w:val="24"/>
        </w:rPr>
        <w:t>CLIA</w:t>
      </w:r>
      <w:r>
        <w:rPr>
          <w:rFonts w:ascii="Times New Roman" w:eastAsia="宋体" w:hAnsi="Times New Roman" w:cs="Times New Roman"/>
          <w:sz w:val="24"/>
          <w:szCs w:val="24"/>
        </w:rPr>
        <w:t>）、</w:t>
      </w:r>
      <w:r w:rsidR="00463C9B">
        <w:rPr>
          <w:rFonts w:ascii="Times New Roman" w:eastAsia="宋体" w:hAnsi="Times New Roman" w:cs="Times New Roman" w:hint="eastAsia"/>
          <w:sz w:val="24"/>
          <w:szCs w:val="24"/>
        </w:rPr>
        <w:t>流式点阵免疫发光法</w:t>
      </w:r>
      <w:r>
        <w:rPr>
          <w:rFonts w:ascii="Times New Roman" w:eastAsia="宋体" w:hAnsi="Times New Roman" w:cs="Times New Roman"/>
          <w:sz w:val="24"/>
          <w:szCs w:val="24"/>
        </w:rPr>
        <w:t>（</w:t>
      </w:r>
      <w:r w:rsidR="00463C9B" w:rsidRPr="00463C9B">
        <w:rPr>
          <w:rFonts w:ascii="Times New Roman" w:eastAsia="宋体" w:hAnsi="Times New Roman" w:cs="Times New Roman"/>
          <w:sz w:val="24"/>
          <w:szCs w:val="24"/>
        </w:rPr>
        <w:t>multiplex bead immunoassay</w:t>
      </w:r>
      <w:r>
        <w:rPr>
          <w:rFonts w:ascii="Times New Roman" w:eastAsia="宋体" w:hAnsi="Times New Roman" w:cs="Times New Roman"/>
          <w:sz w:val="24"/>
          <w:szCs w:val="24"/>
        </w:rPr>
        <w:t>）</w:t>
      </w:r>
      <w:r w:rsidR="00463C9B">
        <w:rPr>
          <w:rFonts w:ascii="Times New Roman" w:eastAsia="宋体" w:hAnsi="Times New Roman" w:cs="Times New Roman" w:hint="eastAsia"/>
          <w:sz w:val="24"/>
          <w:szCs w:val="24"/>
        </w:rPr>
        <w:t>、</w:t>
      </w:r>
      <w:r w:rsidR="00463C9B">
        <w:rPr>
          <w:rFonts w:ascii="Times New Roman" w:eastAsia="宋体" w:hAnsi="Times New Roman" w:cs="Times New Roman"/>
          <w:sz w:val="24"/>
          <w:szCs w:val="24"/>
        </w:rPr>
        <w:t>荧光酶免疫测定（</w:t>
      </w:r>
      <w:r w:rsidR="00463C9B">
        <w:rPr>
          <w:rFonts w:ascii="Times New Roman" w:eastAsia="宋体" w:hAnsi="Times New Roman" w:cs="Times New Roman"/>
          <w:sz w:val="24"/>
          <w:szCs w:val="24"/>
        </w:rPr>
        <w:t>fluorescence enzyme immunoassays</w:t>
      </w:r>
      <w:r w:rsidR="00463C9B">
        <w:rPr>
          <w:rFonts w:ascii="Times New Roman" w:eastAsia="宋体" w:hAnsi="Times New Roman" w:cs="Times New Roman"/>
          <w:sz w:val="24"/>
          <w:szCs w:val="24"/>
        </w:rPr>
        <w:t>，</w:t>
      </w:r>
      <w:r w:rsidR="00463C9B">
        <w:rPr>
          <w:rFonts w:ascii="Times New Roman" w:eastAsia="宋体" w:hAnsi="Times New Roman" w:cs="Times New Roman"/>
          <w:sz w:val="24"/>
          <w:szCs w:val="24"/>
        </w:rPr>
        <w:t>FEIA</w:t>
      </w:r>
      <w:r w:rsidR="00463C9B">
        <w:rPr>
          <w:rFonts w:ascii="Times New Roman" w:eastAsia="宋体" w:hAnsi="Times New Roman" w:cs="Times New Roman"/>
          <w:sz w:val="24"/>
          <w:szCs w:val="24"/>
        </w:rPr>
        <w:t>）</w:t>
      </w:r>
      <w:r>
        <w:rPr>
          <w:rFonts w:ascii="Times New Roman" w:eastAsia="宋体" w:hAnsi="Times New Roman" w:cs="Times New Roman"/>
          <w:sz w:val="24"/>
          <w:szCs w:val="24"/>
        </w:rPr>
        <w:t>及薄层色谱免疫分析法（</w:t>
      </w:r>
      <w:r>
        <w:rPr>
          <w:rFonts w:ascii="Times New Roman" w:eastAsia="宋体" w:hAnsi="Times New Roman" w:cs="Times New Roman"/>
          <w:sz w:val="24"/>
          <w:szCs w:val="24"/>
        </w:rPr>
        <w:t>thin-layer chromatography immunostaining</w:t>
      </w:r>
      <w:r>
        <w:rPr>
          <w:rFonts w:ascii="Times New Roman" w:eastAsia="宋体" w:hAnsi="Times New Roman" w:cs="Times New Roman"/>
          <w:sz w:val="24"/>
          <w:szCs w:val="24"/>
        </w:rPr>
        <w:t>）等。自动化技术</w:t>
      </w:r>
      <w:r>
        <w:rPr>
          <w:rFonts w:ascii="Times New Roman" w:eastAsia="宋体" w:hAnsi="Times New Roman" w:cs="Times New Roman" w:hint="eastAsia"/>
          <w:sz w:val="24"/>
          <w:szCs w:val="24"/>
        </w:rPr>
        <w:t>显著</w:t>
      </w:r>
      <w:r>
        <w:rPr>
          <w:rFonts w:ascii="Times New Roman" w:eastAsia="宋体" w:hAnsi="Times New Roman" w:cs="Times New Roman"/>
          <w:sz w:val="24"/>
          <w:szCs w:val="24"/>
        </w:rPr>
        <w:t>提高了检测的一致性</w:t>
      </w:r>
      <w:r>
        <w:rPr>
          <w:rFonts w:ascii="Times New Roman" w:eastAsia="宋体" w:hAnsi="Times New Roman" w:cs="Times New Roman" w:hint="eastAsia"/>
          <w:sz w:val="24"/>
          <w:szCs w:val="24"/>
        </w:rPr>
        <w:t>及</w:t>
      </w:r>
      <w:r>
        <w:rPr>
          <w:rFonts w:ascii="Times New Roman" w:eastAsia="宋体" w:hAnsi="Times New Roman" w:cs="Times New Roman"/>
          <w:sz w:val="24"/>
          <w:szCs w:val="24"/>
        </w:rPr>
        <w:t>检测效率，</w:t>
      </w:r>
      <w:r>
        <w:rPr>
          <w:rFonts w:ascii="Times New Roman" w:eastAsia="宋体" w:hAnsi="Times New Roman" w:cs="Times New Roman" w:hint="eastAsia"/>
          <w:sz w:val="24"/>
          <w:szCs w:val="24"/>
        </w:rPr>
        <w:t>并降低</w:t>
      </w:r>
      <w:r>
        <w:rPr>
          <w:rFonts w:ascii="Times New Roman" w:eastAsia="宋体" w:hAnsi="Times New Roman" w:cs="Times New Roman"/>
          <w:sz w:val="24"/>
          <w:szCs w:val="24"/>
        </w:rPr>
        <w:t>了实验室间的差异</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ADDIN NE.Ref.{4DD5B60E-1764-4711-AEE7-75F2F4CD362B}</w:instrText>
      </w:r>
      <w:r>
        <w:rPr>
          <w:rFonts w:ascii="Times New Roman" w:eastAsia="宋体" w:hAnsi="Times New Roman" w:cs="Times New Roman"/>
          <w:sz w:val="24"/>
          <w:szCs w:val="24"/>
        </w:rPr>
        <w:fldChar w:fldCharType="separate"/>
      </w:r>
      <w:r>
        <w:rPr>
          <w:rFonts w:ascii="Times New Roman" w:eastAsia="宋体" w:hAnsi="Times New Roman" w:cs="Times New Roman"/>
          <w:color w:val="080000"/>
          <w:kern w:val="0"/>
          <w:sz w:val="24"/>
          <w:szCs w:val="24"/>
        </w:rPr>
        <w:t>[</w:t>
      </w:r>
      <w:r>
        <w:rPr>
          <w:rFonts w:ascii="Times New Roman" w:eastAsia="宋体" w:hAnsi="Times New Roman" w:cs="Times New Roman" w:hint="eastAsia"/>
          <w:color w:val="080000"/>
          <w:kern w:val="0"/>
          <w:sz w:val="24"/>
          <w:szCs w:val="24"/>
        </w:rPr>
        <w:t>7</w:t>
      </w:r>
      <w:r>
        <w:rPr>
          <w:rFonts w:ascii="Times New Roman" w:eastAsia="宋体" w:hAnsi="Times New Roman" w:cs="Times New Roman"/>
          <w:color w:val="080000"/>
          <w:kern w:val="0"/>
          <w:sz w:val="24"/>
          <w:szCs w:val="24"/>
        </w:rPr>
        <w:t xml:space="preserve">, </w:t>
      </w:r>
      <w:r>
        <w:rPr>
          <w:rFonts w:ascii="Times New Roman" w:eastAsia="宋体" w:hAnsi="Times New Roman" w:cs="Times New Roman" w:hint="eastAsia"/>
          <w:color w:val="080000"/>
          <w:kern w:val="0"/>
          <w:sz w:val="24"/>
          <w:szCs w:val="24"/>
        </w:rPr>
        <w:t>8</w:t>
      </w:r>
      <w:r>
        <w:rPr>
          <w:rFonts w:ascii="Times New Roman" w:eastAsia="宋体" w:hAnsi="Times New Roman" w:cs="Times New Roman"/>
          <w:color w:val="080000"/>
          <w:kern w:val="0"/>
          <w:sz w:val="24"/>
          <w:szCs w:val="24"/>
        </w:rPr>
        <w:t>]</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w:t>
      </w:r>
      <w:r>
        <w:rPr>
          <w:rFonts w:ascii="Times New Roman" w:eastAsia="宋体" w:hAnsi="Times New Roman" w:cs="Times New Roman"/>
          <w:sz w:val="24"/>
          <w:szCs w:val="24"/>
        </w:rPr>
        <w:t>2023</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美国风湿病学会</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欧洲抗风湿病联盟（</w:t>
      </w:r>
      <w:r>
        <w:rPr>
          <w:rFonts w:ascii="Times New Roman" w:eastAsia="宋体" w:hAnsi="Times New Roman" w:cs="Times New Roman"/>
          <w:sz w:val="24"/>
          <w:szCs w:val="24"/>
        </w:rPr>
        <w:t>American College of Rheumatology</w:t>
      </w:r>
      <w:r>
        <w:rPr>
          <w:rFonts w:ascii="Times New Roman" w:eastAsia="宋体" w:hAnsi="Times New Roman" w:cs="Times New Roman" w:hint="eastAsia"/>
          <w:sz w:val="24"/>
          <w:szCs w:val="24"/>
        </w:rPr>
        <w:t>/</w:t>
      </w:r>
      <w:r>
        <w:rPr>
          <w:rFonts w:ascii="Times New Roman" w:eastAsia="宋体" w:hAnsi="Times New Roman" w:cs="Times New Roman"/>
          <w:sz w:val="24"/>
          <w:szCs w:val="24"/>
        </w:rPr>
        <w:t>European League Against Rheumatism</w:t>
      </w:r>
      <w:r>
        <w:rPr>
          <w:rFonts w:ascii="Times New Roman" w:eastAsia="宋体" w:hAnsi="Times New Roman" w:cs="Times New Roman"/>
          <w:sz w:val="24"/>
          <w:szCs w:val="24"/>
        </w:rPr>
        <w:t>，</w:t>
      </w:r>
      <w:r>
        <w:rPr>
          <w:rFonts w:ascii="Times New Roman" w:eastAsia="宋体" w:hAnsi="Times New Roman" w:cs="Times New Roman" w:hint="eastAsia"/>
          <w:sz w:val="24"/>
          <w:szCs w:val="24"/>
        </w:rPr>
        <w:t>ACR/EULAR</w:t>
      </w:r>
      <w:r>
        <w:rPr>
          <w:rFonts w:ascii="Times New Roman" w:eastAsia="宋体" w:hAnsi="Times New Roman" w:cs="Times New Roman" w:hint="eastAsia"/>
          <w:sz w:val="24"/>
          <w:szCs w:val="24"/>
        </w:rPr>
        <w:t>）</w:t>
      </w:r>
      <w:r>
        <w:rPr>
          <w:rFonts w:ascii="Times New Roman" w:eastAsia="宋体" w:hAnsi="Times New Roman" w:cs="Times New Roman"/>
          <w:sz w:val="24"/>
          <w:szCs w:val="24"/>
        </w:rPr>
        <w:t>APS</w:t>
      </w:r>
      <w:r>
        <w:rPr>
          <w:rFonts w:ascii="Times New Roman" w:eastAsia="宋体" w:hAnsi="Times New Roman" w:cs="Times New Roman"/>
          <w:sz w:val="24"/>
          <w:szCs w:val="24"/>
        </w:rPr>
        <w:t>分类标准延续</w:t>
      </w:r>
      <w:r>
        <w:rPr>
          <w:rFonts w:ascii="Times New Roman" w:eastAsia="宋体" w:hAnsi="Times New Roman" w:cs="Times New Roman" w:hint="eastAsia"/>
          <w:sz w:val="24"/>
          <w:szCs w:val="24"/>
        </w:rPr>
        <w:t>了</w:t>
      </w:r>
      <w:r>
        <w:rPr>
          <w:rFonts w:ascii="Times New Roman" w:eastAsia="宋体" w:hAnsi="Times New Roman" w:cs="Times New Roman"/>
          <w:sz w:val="24"/>
          <w:szCs w:val="24"/>
        </w:rPr>
        <w:t>2006</w:t>
      </w:r>
      <w:r>
        <w:rPr>
          <w:rFonts w:ascii="Times New Roman" w:eastAsia="宋体" w:hAnsi="Times New Roman" w:cs="Times New Roman"/>
          <w:sz w:val="24"/>
          <w:szCs w:val="24"/>
        </w:rPr>
        <w:t>年的悉尼标准</w:t>
      </w:r>
      <w:r>
        <w:rPr>
          <w:rFonts w:ascii="Times New Roman" w:eastAsia="宋体" w:hAnsi="Times New Roman" w:cs="Times New Roman" w:hint="eastAsia"/>
          <w:sz w:val="24"/>
          <w:szCs w:val="24"/>
        </w:rPr>
        <w:t>的建议</w:t>
      </w:r>
      <w:r>
        <w:rPr>
          <w:rFonts w:ascii="Times New Roman" w:eastAsia="宋体" w:hAnsi="Times New Roman" w:cs="Times New Roman"/>
          <w:sz w:val="24"/>
          <w:szCs w:val="24"/>
        </w:rPr>
        <w:t>，</w:t>
      </w:r>
      <w:r>
        <w:rPr>
          <w:rFonts w:ascii="Times New Roman" w:eastAsia="宋体" w:hAnsi="Times New Roman" w:cs="Times New Roman" w:hint="eastAsia"/>
          <w:sz w:val="24"/>
          <w:szCs w:val="24"/>
        </w:rPr>
        <w:t>仍</w:t>
      </w:r>
      <w:r>
        <w:rPr>
          <w:rFonts w:ascii="Times New Roman" w:eastAsia="宋体" w:hAnsi="Times New Roman" w:cs="Times New Roman"/>
          <w:sz w:val="24"/>
          <w:szCs w:val="24"/>
        </w:rPr>
        <w:t>推荐</w:t>
      </w:r>
      <w:r>
        <w:rPr>
          <w:rFonts w:ascii="Times New Roman" w:eastAsia="宋体" w:hAnsi="Times New Roman" w:cs="Times New Roman" w:hint="eastAsia"/>
          <w:sz w:val="24"/>
          <w:szCs w:val="24"/>
        </w:rPr>
        <w:t>ELISA</w:t>
      </w:r>
      <w:r>
        <w:rPr>
          <w:rFonts w:ascii="Times New Roman" w:eastAsia="宋体" w:hAnsi="Times New Roman" w:cs="Times New Roman" w:hint="eastAsia"/>
          <w:sz w:val="24"/>
          <w:szCs w:val="24"/>
        </w:rPr>
        <w:t>法作为</w:t>
      </w:r>
      <w:r>
        <w:rPr>
          <w:rFonts w:ascii="Times New Roman" w:eastAsia="宋体" w:hAnsi="Times New Roman" w:cs="Times New Roman"/>
          <w:sz w:val="24"/>
          <w:szCs w:val="24"/>
        </w:rPr>
        <w:t>aCL</w:t>
      </w:r>
      <w:r>
        <w:rPr>
          <w:rFonts w:ascii="Times New Roman" w:eastAsia="宋体" w:hAnsi="Times New Roman" w:cs="Times New Roman"/>
          <w:sz w:val="24"/>
          <w:szCs w:val="24"/>
        </w:rPr>
        <w:t>和</w:t>
      </w:r>
      <w:r>
        <w:rPr>
          <w:rFonts w:ascii="Times New Roman" w:eastAsia="宋体" w:hAnsi="Times New Roman" w:cs="Times New Roman"/>
          <w:sz w:val="24"/>
          <w:szCs w:val="24"/>
        </w:rPr>
        <w:t>aβ2GPI</w:t>
      </w:r>
      <w:r>
        <w:rPr>
          <w:rFonts w:ascii="Times New Roman" w:eastAsia="宋体" w:hAnsi="Times New Roman" w:cs="Times New Roman"/>
          <w:sz w:val="24"/>
          <w:szCs w:val="24"/>
        </w:rPr>
        <w:t>检测</w:t>
      </w:r>
      <w:r>
        <w:rPr>
          <w:rFonts w:ascii="Times New Roman" w:eastAsia="宋体" w:hAnsi="Times New Roman" w:cs="Times New Roman" w:hint="eastAsia"/>
          <w:sz w:val="24"/>
          <w:szCs w:val="24"/>
        </w:rPr>
        <w:t>的标准</w:t>
      </w:r>
      <w:r>
        <w:rPr>
          <w:rFonts w:ascii="Times New Roman" w:eastAsia="宋体" w:hAnsi="Times New Roman" w:cs="Times New Roman"/>
          <w:sz w:val="24"/>
          <w:szCs w:val="24"/>
        </w:rPr>
        <w:t>方法，</w:t>
      </w:r>
      <w:r>
        <w:rPr>
          <w:rFonts w:ascii="Times New Roman" w:eastAsia="宋体" w:hAnsi="Times New Roman" w:cs="Times New Roman" w:hint="eastAsia"/>
          <w:sz w:val="24"/>
          <w:szCs w:val="24"/>
        </w:rPr>
        <w:t>并定义</w:t>
      </w:r>
      <w:r>
        <w:rPr>
          <w:rFonts w:ascii="Times New Roman" w:eastAsia="宋体" w:hAnsi="Times New Roman" w:cs="Times New Roman"/>
          <w:sz w:val="24"/>
          <w:szCs w:val="24"/>
        </w:rPr>
        <w:t>中滴度为</w:t>
      </w:r>
      <w:r>
        <w:rPr>
          <w:rFonts w:ascii="Times New Roman" w:eastAsia="宋体" w:hAnsi="Times New Roman" w:cs="Times New Roman"/>
          <w:sz w:val="24"/>
          <w:szCs w:val="24"/>
        </w:rPr>
        <w:t>40-79 U/L</w:t>
      </w:r>
      <w:r>
        <w:rPr>
          <w:rFonts w:ascii="Times New Roman" w:eastAsia="宋体" w:hAnsi="Times New Roman" w:cs="Times New Roman"/>
          <w:sz w:val="24"/>
          <w:szCs w:val="24"/>
        </w:rPr>
        <w:t>，高滴度为</w:t>
      </w:r>
      <w:r>
        <w:t>≥</w:t>
      </w:r>
      <w:r>
        <w:rPr>
          <w:rFonts w:ascii="Times New Roman" w:eastAsia="宋体" w:hAnsi="Times New Roman" w:cs="Times New Roman"/>
          <w:sz w:val="24"/>
          <w:szCs w:val="24"/>
        </w:rPr>
        <w:t>80 U/L</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ADDIN NE.Ref.{999791E7-903D-4747-8B03-50EB661BA504}</w:instrText>
      </w:r>
      <w:r>
        <w:rPr>
          <w:rFonts w:ascii="Times New Roman" w:eastAsia="宋体" w:hAnsi="Times New Roman" w:cs="Times New Roman"/>
          <w:sz w:val="24"/>
          <w:szCs w:val="24"/>
        </w:rPr>
        <w:fldChar w:fldCharType="separate"/>
      </w:r>
      <w:r>
        <w:rPr>
          <w:rFonts w:ascii="Times New Roman" w:eastAsia="宋体" w:hAnsi="Times New Roman" w:cs="Times New Roman"/>
          <w:color w:val="080000"/>
          <w:kern w:val="0"/>
          <w:sz w:val="24"/>
          <w:szCs w:val="24"/>
        </w:rPr>
        <w:t xml:space="preserve">[1, </w:t>
      </w:r>
      <w:r>
        <w:rPr>
          <w:rFonts w:ascii="Times New Roman" w:eastAsia="宋体" w:hAnsi="Times New Roman" w:cs="Times New Roman" w:hint="eastAsia"/>
          <w:color w:val="080000"/>
          <w:kern w:val="0"/>
          <w:sz w:val="24"/>
          <w:szCs w:val="24"/>
        </w:rPr>
        <w:t>9</w:t>
      </w:r>
      <w:r>
        <w:rPr>
          <w:rFonts w:ascii="Times New Roman" w:eastAsia="宋体" w:hAnsi="Times New Roman" w:cs="Times New Roman"/>
          <w:color w:val="080000"/>
          <w:kern w:val="0"/>
          <w:sz w:val="24"/>
          <w:szCs w:val="24"/>
        </w:rPr>
        <w:t>]</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w:t>
      </w:r>
      <w:r>
        <w:rPr>
          <w:rFonts w:ascii="Times New Roman" w:eastAsia="宋体" w:hAnsi="Times New Roman" w:cs="Times New Roman" w:hint="eastAsia"/>
          <w:sz w:val="24"/>
          <w:szCs w:val="24"/>
        </w:rPr>
        <w:t>为应对不同检测技术带来的挑战</w:t>
      </w:r>
      <w:r>
        <w:rPr>
          <w:rFonts w:ascii="Times New Roman" w:eastAsia="宋体" w:hAnsi="Times New Roman" w:cs="Times New Roman"/>
          <w:sz w:val="24"/>
          <w:szCs w:val="24"/>
        </w:rPr>
        <w:t>，国际血栓与止血学会科学和标准化委员会</w:t>
      </w:r>
      <w:r>
        <w:rPr>
          <w:rFonts w:ascii="Times New Roman" w:eastAsia="宋体" w:hAnsi="Times New Roman" w:cs="Times New Roman" w:hint="eastAsia"/>
          <w:sz w:val="24"/>
          <w:szCs w:val="24"/>
        </w:rPr>
        <w:t>（</w:t>
      </w:r>
      <w:r>
        <w:rPr>
          <w:rFonts w:ascii="Times New Roman" w:eastAsia="宋体" w:hAnsi="Times New Roman" w:cs="Times New Roman"/>
          <w:sz w:val="24"/>
          <w:szCs w:val="24"/>
        </w:rPr>
        <w:t>International Society on</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Thrombosis and Haemostasis Scientific and Standardization Committee</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ISTH</w:t>
      </w:r>
      <w:r>
        <w:rPr>
          <w:rFonts w:ascii="Times New Roman" w:eastAsia="宋体" w:hAnsi="Times New Roman" w:cs="Times New Roman" w:hint="eastAsia"/>
          <w:sz w:val="24"/>
          <w:szCs w:val="24"/>
        </w:rPr>
        <w:t>-</w:t>
      </w:r>
      <w:r>
        <w:rPr>
          <w:rFonts w:ascii="Times New Roman" w:eastAsia="宋体" w:hAnsi="Times New Roman" w:cs="Times New Roman"/>
          <w:sz w:val="24"/>
          <w:szCs w:val="24"/>
        </w:rPr>
        <w:t>SSC</w:t>
      </w:r>
      <w:r>
        <w:rPr>
          <w:rFonts w:ascii="Times New Roman" w:eastAsia="宋体" w:hAnsi="Times New Roman" w:cs="Times New Roman" w:hint="eastAsia"/>
          <w:sz w:val="24"/>
          <w:szCs w:val="24"/>
        </w:rPr>
        <w:t>）</w:t>
      </w:r>
      <w:r>
        <w:rPr>
          <w:rFonts w:ascii="Times New Roman" w:eastAsia="宋体" w:hAnsi="Times New Roman" w:cs="Times New Roman"/>
          <w:sz w:val="24"/>
          <w:szCs w:val="24"/>
        </w:rPr>
        <w:t>工作组</w:t>
      </w:r>
      <w:r>
        <w:rPr>
          <w:rFonts w:ascii="Times New Roman" w:eastAsia="宋体" w:hAnsi="Times New Roman" w:cs="Times New Roman" w:hint="eastAsia"/>
          <w:sz w:val="24"/>
          <w:szCs w:val="24"/>
        </w:rPr>
        <w:t>提出如下</w:t>
      </w:r>
      <w:r>
        <w:rPr>
          <w:rFonts w:ascii="Times New Roman" w:eastAsia="宋体" w:hAnsi="Times New Roman" w:cs="Times New Roman"/>
          <w:sz w:val="24"/>
          <w:szCs w:val="24"/>
        </w:rPr>
        <w:t>建议</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一是</w:t>
      </w:r>
      <w:r>
        <w:rPr>
          <w:rFonts w:ascii="Times New Roman" w:eastAsia="宋体" w:hAnsi="Times New Roman" w:cs="Times New Roman" w:hint="eastAsia"/>
          <w:sz w:val="24"/>
          <w:szCs w:val="24"/>
        </w:rPr>
        <w:t>加速</w:t>
      </w:r>
      <w:r>
        <w:rPr>
          <w:rFonts w:ascii="Times New Roman" w:eastAsia="宋体" w:hAnsi="Times New Roman" w:cs="Times New Roman"/>
          <w:sz w:val="24"/>
          <w:szCs w:val="24"/>
        </w:rPr>
        <w:t>研发全球</w:t>
      </w:r>
      <w:r>
        <w:rPr>
          <w:rFonts w:ascii="Times New Roman" w:eastAsia="宋体" w:hAnsi="Times New Roman" w:cs="Times New Roman" w:hint="eastAsia"/>
          <w:sz w:val="24"/>
          <w:szCs w:val="24"/>
        </w:rPr>
        <w:t>统一</w:t>
      </w:r>
      <w:r>
        <w:rPr>
          <w:rFonts w:ascii="Times New Roman" w:eastAsia="宋体" w:hAnsi="Times New Roman" w:cs="Times New Roman"/>
          <w:sz w:val="24"/>
          <w:szCs w:val="24"/>
        </w:rPr>
        <w:t>的参考物质，</w:t>
      </w:r>
      <w:r>
        <w:rPr>
          <w:rFonts w:ascii="Times New Roman" w:eastAsia="宋体" w:hAnsi="Times New Roman" w:cs="Times New Roman" w:hint="eastAsia"/>
          <w:sz w:val="24"/>
          <w:szCs w:val="24"/>
        </w:rPr>
        <w:t>以协调不同检测方法学间的结果差异</w:t>
      </w:r>
      <w:r>
        <w:rPr>
          <w:rFonts w:ascii="Times New Roman" w:eastAsia="宋体" w:hAnsi="Times New Roman" w:cs="Times New Roman"/>
          <w:sz w:val="24"/>
          <w:szCs w:val="24"/>
        </w:rPr>
        <w:t>；二是</w:t>
      </w:r>
      <w:r>
        <w:rPr>
          <w:rFonts w:ascii="Times New Roman" w:eastAsia="宋体" w:hAnsi="Times New Roman" w:cs="Times New Roman" w:hint="eastAsia"/>
          <w:sz w:val="24"/>
          <w:szCs w:val="24"/>
        </w:rPr>
        <w:t>对于</w:t>
      </w:r>
      <w:r>
        <w:rPr>
          <w:rFonts w:ascii="Times New Roman" w:eastAsia="宋体" w:hAnsi="Times New Roman" w:cs="Times New Roman"/>
          <w:sz w:val="24"/>
          <w:szCs w:val="24"/>
        </w:rPr>
        <w:t>非</w:t>
      </w:r>
      <w:r>
        <w:rPr>
          <w:rFonts w:ascii="Times New Roman" w:eastAsia="宋体" w:hAnsi="Times New Roman" w:cs="Times New Roman"/>
          <w:sz w:val="24"/>
          <w:szCs w:val="24"/>
        </w:rPr>
        <w:t>ELISA</w:t>
      </w:r>
      <w:r>
        <w:rPr>
          <w:rFonts w:ascii="Times New Roman" w:eastAsia="宋体" w:hAnsi="Times New Roman" w:cs="Times New Roman" w:hint="eastAsia"/>
          <w:sz w:val="24"/>
          <w:szCs w:val="24"/>
        </w:rPr>
        <w:t>法，实验室应建立或验证其中、高滴度界值。</w:t>
      </w:r>
      <w:r>
        <w:rPr>
          <w:rFonts w:ascii="Times New Roman" w:eastAsia="宋体" w:hAnsi="Times New Roman" w:cs="Times New Roman"/>
          <w:sz w:val="24"/>
          <w:szCs w:val="24"/>
        </w:rPr>
        <w:t>可通过</w:t>
      </w:r>
      <w:r>
        <w:rPr>
          <w:rFonts w:ascii="Times New Roman" w:eastAsia="宋体" w:hAnsi="Times New Roman" w:cs="Times New Roman" w:hint="eastAsia"/>
          <w:sz w:val="24"/>
          <w:szCs w:val="24"/>
        </w:rPr>
        <w:t>对</w:t>
      </w:r>
      <w:r>
        <w:rPr>
          <w:rFonts w:ascii="Times New Roman" w:eastAsia="宋体" w:hAnsi="Times New Roman" w:cs="Times New Roman"/>
          <w:sz w:val="24"/>
          <w:szCs w:val="24"/>
        </w:rPr>
        <w:t>大样本临床队列</w:t>
      </w:r>
      <w:r>
        <w:rPr>
          <w:rFonts w:ascii="Times New Roman" w:eastAsia="宋体" w:hAnsi="Times New Roman" w:cs="Times New Roman" w:hint="eastAsia"/>
          <w:sz w:val="24"/>
          <w:szCs w:val="24"/>
        </w:rPr>
        <w:t>进行</w:t>
      </w:r>
      <w:r w:rsidR="00007061">
        <w:rPr>
          <w:rFonts w:ascii="Times New Roman" w:eastAsia="宋体" w:hAnsi="Times New Roman" w:cs="Times New Roman" w:hint="eastAsia"/>
          <w:sz w:val="24"/>
          <w:szCs w:val="24"/>
        </w:rPr>
        <w:t>受试者</w:t>
      </w:r>
      <w:r w:rsidR="00007061" w:rsidRPr="00007061">
        <w:rPr>
          <w:rFonts w:ascii="Times New Roman" w:eastAsia="宋体" w:hAnsi="Times New Roman" w:cs="Times New Roman"/>
          <w:sz w:val="24"/>
          <w:szCs w:val="24"/>
        </w:rPr>
        <w:t>操作特性曲线（</w:t>
      </w:r>
      <w:r w:rsidR="00007061" w:rsidRPr="00007061">
        <w:rPr>
          <w:rFonts w:ascii="Times New Roman" w:eastAsia="宋体" w:hAnsi="Times New Roman" w:cs="Times New Roman"/>
          <w:sz w:val="24"/>
          <w:szCs w:val="24"/>
        </w:rPr>
        <w:t>receiver operating characteristic curve</w:t>
      </w:r>
      <w:r w:rsidR="00007061">
        <w:rPr>
          <w:rFonts w:ascii="Times New Roman" w:eastAsia="宋体" w:hAnsi="Times New Roman" w:cs="Times New Roman" w:hint="eastAsia"/>
          <w:sz w:val="24"/>
          <w:szCs w:val="24"/>
        </w:rPr>
        <w:t>，</w:t>
      </w:r>
      <w:r>
        <w:rPr>
          <w:rFonts w:ascii="Times New Roman" w:eastAsia="宋体" w:hAnsi="Times New Roman" w:cs="Times New Roman"/>
          <w:sz w:val="24"/>
          <w:szCs w:val="24"/>
        </w:rPr>
        <w:t>ROC</w:t>
      </w:r>
      <w:r w:rsidR="00007061">
        <w:rPr>
          <w:rFonts w:ascii="Times New Roman" w:eastAsia="宋体" w:hAnsi="Times New Roman" w:cs="Times New Roman" w:hint="eastAsia"/>
          <w:sz w:val="24"/>
          <w:szCs w:val="24"/>
        </w:rPr>
        <w:t>）</w:t>
      </w:r>
      <w:r>
        <w:rPr>
          <w:rFonts w:ascii="Times New Roman" w:eastAsia="宋体" w:hAnsi="Times New Roman" w:cs="Times New Roman"/>
          <w:sz w:val="24"/>
          <w:szCs w:val="24"/>
        </w:rPr>
        <w:t>分析或通过系</w:t>
      </w:r>
      <w:r>
        <w:rPr>
          <w:rFonts w:ascii="Times New Roman" w:eastAsia="宋体" w:hAnsi="Times New Roman" w:cs="Times New Roman"/>
          <w:sz w:val="24"/>
          <w:szCs w:val="24"/>
        </w:rPr>
        <w:lastRenderedPageBreak/>
        <w:t>列稀释参考物质，</w:t>
      </w:r>
      <w:r>
        <w:rPr>
          <w:rFonts w:ascii="Times New Roman" w:eastAsia="宋体" w:hAnsi="Times New Roman" w:cs="Times New Roman" w:hint="eastAsia"/>
          <w:sz w:val="24"/>
          <w:szCs w:val="24"/>
        </w:rPr>
        <w:t>再</w:t>
      </w:r>
      <w:r>
        <w:rPr>
          <w:rFonts w:ascii="Times New Roman" w:eastAsia="宋体" w:hAnsi="Times New Roman" w:cs="Times New Roman"/>
          <w:sz w:val="24"/>
          <w:szCs w:val="24"/>
        </w:rPr>
        <w:t>平行使用</w:t>
      </w:r>
      <w:r>
        <w:rPr>
          <w:rFonts w:ascii="Times New Roman" w:eastAsia="宋体" w:hAnsi="Times New Roman" w:cs="Times New Roman"/>
          <w:sz w:val="24"/>
          <w:szCs w:val="24"/>
        </w:rPr>
        <w:t>ELISA</w:t>
      </w:r>
      <w:r>
        <w:rPr>
          <w:rFonts w:ascii="Times New Roman" w:eastAsia="宋体" w:hAnsi="Times New Roman" w:cs="Times New Roman"/>
          <w:sz w:val="24"/>
          <w:szCs w:val="24"/>
        </w:rPr>
        <w:t>法和非</w:t>
      </w:r>
      <w:r>
        <w:rPr>
          <w:rFonts w:ascii="Times New Roman" w:eastAsia="宋体" w:hAnsi="Times New Roman" w:cs="Times New Roman"/>
          <w:sz w:val="24"/>
          <w:szCs w:val="24"/>
        </w:rPr>
        <w:t>ELISA</w:t>
      </w:r>
      <w:r>
        <w:rPr>
          <w:rFonts w:ascii="Times New Roman" w:eastAsia="宋体" w:hAnsi="Times New Roman" w:cs="Times New Roman" w:hint="eastAsia"/>
          <w:sz w:val="24"/>
          <w:szCs w:val="24"/>
        </w:rPr>
        <w:t>法</w:t>
      </w:r>
      <w:r>
        <w:rPr>
          <w:rFonts w:ascii="Times New Roman" w:eastAsia="宋体" w:hAnsi="Times New Roman" w:cs="Times New Roman"/>
          <w:sz w:val="24"/>
          <w:szCs w:val="24"/>
        </w:rPr>
        <w:t>检测，进而使用线性回归分析确定</w:t>
      </w:r>
      <w:r>
        <w:rPr>
          <w:rFonts w:ascii="Times New Roman" w:eastAsia="宋体" w:hAnsi="Times New Roman" w:cs="Times New Roman" w:hint="eastAsia"/>
          <w:sz w:val="24"/>
          <w:szCs w:val="24"/>
        </w:rPr>
        <w:t>非</w:t>
      </w:r>
      <w:r>
        <w:rPr>
          <w:rFonts w:ascii="Times New Roman" w:eastAsia="宋体" w:hAnsi="Times New Roman" w:cs="Times New Roman" w:hint="eastAsia"/>
          <w:sz w:val="24"/>
          <w:szCs w:val="24"/>
        </w:rPr>
        <w:t>ELISA</w:t>
      </w:r>
      <w:r>
        <w:rPr>
          <w:rFonts w:ascii="Times New Roman" w:eastAsia="宋体" w:hAnsi="Times New Roman" w:cs="Times New Roman" w:hint="eastAsia"/>
          <w:sz w:val="24"/>
          <w:szCs w:val="24"/>
        </w:rPr>
        <w:t>法相应的界值</w:t>
      </w:r>
      <w:bookmarkStart w:id="7" w:name="_Hlk209772989"/>
      <w:r>
        <w:rPr>
          <w:rFonts w:ascii="Times New Roman" w:eastAsia="宋体" w:hAnsi="Times New Roman" w:cs="Times New Roman"/>
          <w:color w:val="080000"/>
          <w:kern w:val="0"/>
          <w:sz w:val="24"/>
          <w:szCs w:val="24"/>
        </w:rPr>
        <w:fldChar w:fldCharType="begin"/>
      </w:r>
      <w:r>
        <w:rPr>
          <w:rFonts w:ascii="Times New Roman" w:eastAsia="宋体" w:hAnsi="Times New Roman" w:cs="Times New Roman"/>
          <w:color w:val="080000"/>
          <w:kern w:val="0"/>
          <w:sz w:val="24"/>
          <w:szCs w:val="24"/>
        </w:rPr>
        <w:instrText xml:space="preserve"> ADDIN NE.Ref.{90BBAF28-8950-4CA7-AE9E-22E54F60F152}</w:instrText>
      </w:r>
      <w:r>
        <w:rPr>
          <w:rFonts w:ascii="Times New Roman" w:eastAsia="宋体" w:hAnsi="Times New Roman" w:cs="Times New Roman"/>
          <w:color w:val="080000"/>
          <w:kern w:val="0"/>
          <w:sz w:val="24"/>
          <w:szCs w:val="24"/>
        </w:rPr>
        <w:fldChar w:fldCharType="separate"/>
      </w:r>
      <w:r>
        <w:rPr>
          <w:rFonts w:ascii="Times New Roman" w:eastAsia="宋体" w:hAnsi="Times New Roman" w:cs="Times New Roman"/>
          <w:color w:val="080000"/>
          <w:kern w:val="0"/>
          <w:sz w:val="24"/>
          <w:szCs w:val="24"/>
        </w:rPr>
        <w:t>[</w:t>
      </w:r>
      <w:r>
        <w:rPr>
          <w:rFonts w:ascii="Times New Roman" w:eastAsia="宋体" w:hAnsi="Times New Roman" w:cs="Times New Roman" w:hint="eastAsia"/>
          <w:color w:val="080000"/>
          <w:kern w:val="0"/>
          <w:sz w:val="24"/>
          <w:szCs w:val="24"/>
        </w:rPr>
        <w:t>10</w:t>
      </w:r>
      <w:r>
        <w:rPr>
          <w:rFonts w:ascii="Times New Roman" w:eastAsia="宋体" w:hAnsi="Times New Roman" w:cs="Times New Roman"/>
          <w:color w:val="080000"/>
          <w:kern w:val="0"/>
          <w:sz w:val="24"/>
          <w:szCs w:val="24"/>
        </w:rPr>
        <w:t xml:space="preserve">, </w:t>
      </w:r>
      <w:r>
        <w:rPr>
          <w:rFonts w:ascii="Times New Roman" w:eastAsia="宋体" w:hAnsi="Times New Roman" w:cs="Times New Roman" w:hint="eastAsia"/>
          <w:color w:val="080000"/>
          <w:kern w:val="0"/>
          <w:sz w:val="24"/>
          <w:szCs w:val="24"/>
        </w:rPr>
        <w:t>11</w:t>
      </w:r>
      <w:r>
        <w:rPr>
          <w:rFonts w:ascii="Times New Roman" w:eastAsia="宋体" w:hAnsi="Times New Roman" w:cs="Times New Roman"/>
          <w:color w:val="080000"/>
          <w:kern w:val="0"/>
          <w:sz w:val="24"/>
          <w:szCs w:val="24"/>
        </w:rPr>
        <w:t>]</w:t>
      </w:r>
      <w:r>
        <w:rPr>
          <w:rFonts w:ascii="Times New Roman" w:eastAsia="宋体" w:hAnsi="Times New Roman" w:cs="Times New Roman"/>
          <w:color w:val="080000"/>
          <w:kern w:val="0"/>
          <w:sz w:val="24"/>
          <w:szCs w:val="24"/>
        </w:rPr>
        <w:fldChar w:fldCharType="end"/>
      </w:r>
      <w:bookmarkEnd w:id="7"/>
      <w:r>
        <w:rPr>
          <w:rFonts w:ascii="Times New Roman" w:eastAsia="宋体" w:hAnsi="Times New Roman" w:cs="Times New Roman"/>
          <w:sz w:val="24"/>
          <w:szCs w:val="24"/>
        </w:rPr>
        <w:t>。</w:t>
      </w:r>
    </w:p>
    <w:p w14:paraId="09D34DBD" w14:textId="045B33AD" w:rsidR="005B791F" w:rsidRPr="0063766E" w:rsidRDefault="00000000" w:rsidP="0063766E">
      <w:pPr>
        <w:pStyle w:val="1"/>
        <w:numPr>
          <w:ilvl w:val="0"/>
          <w:numId w:val="4"/>
        </w:numPr>
        <w:rPr>
          <w:rFonts w:ascii="Times New Roman" w:eastAsia="宋体" w:hAnsi="Times New Roman" w:cs="Times New Roman"/>
          <w:b/>
          <w:bCs/>
          <w:sz w:val="24"/>
          <w:szCs w:val="24"/>
        </w:rPr>
      </w:pPr>
      <w:bookmarkStart w:id="8" w:name="_Toc210991464"/>
      <w:r w:rsidRPr="0063766E">
        <w:rPr>
          <w:rFonts w:ascii="Times New Roman" w:eastAsia="宋体" w:hAnsi="Times New Roman" w:cs="Times New Roman"/>
          <w:b/>
          <w:bCs/>
          <w:sz w:val="24"/>
          <w:szCs w:val="24"/>
        </w:rPr>
        <w:t>性能验证</w:t>
      </w:r>
      <w:bookmarkEnd w:id="8"/>
    </w:p>
    <w:p w14:paraId="0A5A05BC" w14:textId="77777777" w:rsidR="005B791F" w:rsidRDefault="00000000">
      <w:pPr>
        <w:spacing w:line="360" w:lineRule="auto"/>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5.1</w:t>
      </w:r>
      <w:r>
        <w:rPr>
          <w:rFonts w:ascii="Times New Roman" w:eastAsia="宋体" w:hAnsi="Times New Roman" w:cs="Times New Roman"/>
          <w:b/>
          <w:bCs/>
          <w:sz w:val="24"/>
          <w:szCs w:val="24"/>
        </w:rPr>
        <w:t>验证时机</w:t>
      </w:r>
    </w:p>
    <w:p w14:paraId="3A9AB382" w14:textId="340B53B4" w:rsidR="005B791F" w:rsidRDefault="00C323DF" w:rsidP="00F104C9">
      <w:pPr>
        <w:spacing w:after="160" w:line="360" w:lineRule="auto"/>
        <w:ind w:firstLine="42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aPL</w:t>
      </w:r>
      <w:r w:rsidRPr="00FE0C9E">
        <w:rPr>
          <w:rFonts w:ascii="Times New Roman" w:eastAsia="宋体" w:hAnsi="Times New Roman" w:cs="Times New Roman"/>
          <w:sz w:val="24"/>
          <w:szCs w:val="24"/>
        </w:rPr>
        <w:t>检测项目临床开展初期、更换试剂品牌、更换检测系统或</w:t>
      </w:r>
      <w:r>
        <w:rPr>
          <w:rFonts w:ascii="Times New Roman" w:eastAsia="宋体" w:hAnsi="Times New Roman" w:cs="Times New Roman"/>
          <w:sz w:val="24"/>
          <w:szCs w:val="24"/>
        </w:rPr>
        <w:t>关键部件更换、维修后（如光源、检测器、加样针等）</w:t>
      </w:r>
      <w:r w:rsidRPr="00FE0C9E">
        <w:rPr>
          <w:rFonts w:ascii="Times New Roman" w:eastAsia="宋体" w:hAnsi="Times New Roman" w:cs="Times New Roman"/>
          <w:sz w:val="24"/>
          <w:szCs w:val="24"/>
        </w:rPr>
        <w:t>，</w:t>
      </w:r>
      <w:r>
        <w:rPr>
          <w:rFonts w:ascii="Times New Roman" w:eastAsia="宋体" w:hAnsi="Times New Roman" w:cs="Times New Roman" w:hint="eastAsia"/>
          <w:sz w:val="24"/>
          <w:szCs w:val="24"/>
        </w:rPr>
        <w:t>需</w:t>
      </w:r>
      <w:r w:rsidRPr="00FE0C9E">
        <w:rPr>
          <w:rFonts w:ascii="Times New Roman" w:eastAsia="宋体" w:hAnsi="Times New Roman" w:cs="Times New Roman"/>
          <w:sz w:val="24"/>
          <w:szCs w:val="24"/>
        </w:rPr>
        <w:t>对检测项目的精密度、</w:t>
      </w:r>
      <w:r>
        <w:rPr>
          <w:rFonts w:ascii="Times New Roman" w:eastAsia="宋体" w:hAnsi="Times New Roman" w:cs="Times New Roman" w:hint="eastAsia"/>
          <w:sz w:val="24"/>
          <w:szCs w:val="24"/>
        </w:rPr>
        <w:t>正确度、</w:t>
      </w:r>
      <w:r w:rsidRPr="00FE0C9E">
        <w:rPr>
          <w:rFonts w:ascii="Times New Roman" w:eastAsia="宋体" w:hAnsi="Times New Roman" w:cs="Times New Roman"/>
          <w:sz w:val="24"/>
          <w:szCs w:val="24"/>
        </w:rPr>
        <w:t>线性范围和</w:t>
      </w:r>
      <w:r>
        <w:rPr>
          <w:rFonts w:ascii="Times New Roman" w:eastAsia="宋体" w:hAnsi="Times New Roman" w:cs="Times New Roman" w:hint="eastAsia"/>
          <w:sz w:val="24"/>
          <w:szCs w:val="24"/>
        </w:rPr>
        <w:t>稳定性</w:t>
      </w:r>
      <w:r w:rsidRPr="00FE0C9E">
        <w:rPr>
          <w:rFonts w:ascii="Times New Roman" w:eastAsia="宋体" w:hAnsi="Times New Roman" w:cs="Times New Roman"/>
          <w:sz w:val="24"/>
          <w:szCs w:val="24"/>
        </w:rPr>
        <w:t>等参数进行验证</w:t>
      </w:r>
      <w:r w:rsidR="00000000">
        <w:rPr>
          <w:rFonts w:ascii="Times New Roman" w:eastAsia="宋体" w:hAnsi="Times New Roman" w:cs="Times New Roman"/>
          <w:sz w:val="24"/>
          <w:szCs w:val="24"/>
        </w:rPr>
        <w:t>。所使用的分析仪器应符合医疗器械注册要求。</w:t>
      </w:r>
      <w:r w:rsidR="00F104C9">
        <w:rPr>
          <w:rFonts w:ascii="Times New Roman" w:eastAsia="宋体" w:hAnsi="Times New Roman" w:cs="Times New Roman" w:hint="eastAsia"/>
          <w:sz w:val="24"/>
          <w:szCs w:val="24"/>
        </w:rPr>
        <w:t>使用手工法检测</w:t>
      </w:r>
      <w:r w:rsidR="00F104C9">
        <w:rPr>
          <w:rFonts w:ascii="Times New Roman" w:eastAsia="宋体" w:hAnsi="Times New Roman" w:cs="Times New Roman" w:hint="eastAsia"/>
          <w:sz w:val="24"/>
          <w:szCs w:val="24"/>
        </w:rPr>
        <w:t>aPL</w:t>
      </w:r>
      <w:r w:rsidR="00F104C9">
        <w:rPr>
          <w:rFonts w:ascii="Times New Roman" w:eastAsia="宋体" w:hAnsi="Times New Roman" w:cs="Times New Roman" w:hint="eastAsia"/>
          <w:sz w:val="24"/>
          <w:szCs w:val="24"/>
        </w:rPr>
        <w:t>的实验室，</w:t>
      </w:r>
      <w:r w:rsidR="00F104C9" w:rsidRPr="00F104C9">
        <w:rPr>
          <w:rFonts w:ascii="Times New Roman" w:eastAsia="宋体" w:hAnsi="Times New Roman" w:cs="Times New Roman"/>
          <w:sz w:val="24"/>
          <w:szCs w:val="24"/>
        </w:rPr>
        <w:t>所有专业技术人员应有本专业的教育经历。</w:t>
      </w:r>
      <w:r w:rsidR="00F104C9">
        <w:rPr>
          <w:rFonts w:ascii="Times New Roman" w:eastAsia="宋体" w:hAnsi="Times New Roman" w:cs="Times New Roman" w:hint="eastAsia"/>
          <w:sz w:val="24"/>
          <w:szCs w:val="24"/>
        </w:rPr>
        <w:t>aPL</w:t>
      </w:r>
      <w:r w:rsidR="00F104C9">
        <w:rPr>
          <w:rFonts w:ascii="Times New Roman" w:eastAsia="宋体" w:hAnsi="Times New Roman" w:cs="Times New Roman" w:hint="eastAsia"/>
          <w:sz w:val="24"/>
          <w:szCs w:val="24"/>
        </w:rPr>
        <w:t>检测</w:t>
      </w:r>
      <w:r w:rsidR="00F104C9" w:rsidRPr="00F104C9">
        <w:rPr>
          <w:rFonts w:ascii="Times New Roman" w:eastAsia="宋体" w:hAnsi="Times New Roman" w:cs="Times New Roman"/>
          <w:sz w:val="24"/>
          <w:szCs w:val="24"/>
        </w:rPr>
        <w:t>技术主管应有专业技术培训（如进修学习、参加培训班）及考核记录（如合格证、学分证及岗位培训证）；其他检查人员应有定期培训及考核记录。</w:t>
      </w:r>
    </w:p>
    <w:p w14:paraId="5BE558E1" w14:textId="77777777" w:rsidR="005B791F" w:rsidRDefault="00000000">
      <w:pPr>
        <w:spacing w:line="360" w:lineRule="auto"/>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5.2 </w:t>
      </w:r>
      <w:r>
        <w:rPr>
          <w:rFonts w:ascii="Times New Roman" w:eastAsia="宋体" w:hAnsi="Times New Roman" w:cs="Times New Roman"/>
          <w:b/>
          <w:bCs/>
          <w:sz w:val="24"/>
          <w:szCs w:val="24"/>
        </w:rPr>
        <w:t>验证参数</w:t>
      </w:r>
    </w:p>
    <w:p w14:paraId="088F9F63" w14:textId="7407B1A1" w:rsidR="005B791F" w:rsidRDefault="00000000">
      <w:pPr>
        <w:spacing w:after="160" w:line="360" w:lineRule="auto"/>
        <w:ind w:firstLine="420"/>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5.2.1</w:t>
      </w:r>
      <w:r>
        <w:rPr>
          <w:rFonts w:ascii="Times New Roman" w:eastAsia="宋体" w:hAnsi="Times New Roman" w:cs="Times New Roman"/>
          <w:b/>
          <w:bCs/>
          <w:sz w:val="24"/>
          <w:szCs w:val="24"/>
        </w:rPr>
        <w:t>精密度验证</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选取至少</w:t>
      </w:r>
      <w:r>
        <w:rPr>
          <w:rFonts w:ascii="Times New Roman" w:eastAsia="宋体" w:hAnsi="Times New Roman" w:cs="Times New Roman"/>
          <w:sz w:val="24"/>
          <w:szCs w:val="24"/>
        </w:rPr>
        <w:t>2</w:t>
      </w:r>
      <w:r>
        <w:rPr>
          <w:rFonts w:ascii="Times New Roman" w:eastAsia="宋体" w:hAnsi="Times New Roman" w:cs="Times New Roman"/>
          <w:sz w:val="24"/>
          <w:szCs w:val="24"/>
        </w:rPr>
        <w:t>个浓度水平</w:t>
      </w:r>
      <w:r w:rsidR="006F2F47">
        <w:rPr>
          <w:rFonts w:ascii="Times New Roman" w:eastAsia="宋体" w:hAnsi="Times New Roman" w:cs="Times New Roman" w:hint="eastAsia"/>
          <w:sz w:val="24"/>
          <w:szCs w:val="24"/>
        </w:rPr>
        <w:t>（高浓度和低浓度）</w:t>
      </w:r>
      <w:r>
        <w:rPr>
          <w:rFonts w:ascii="Times New Roman" w:eastAsia="宋体" w:hAnsi="Times New Roman" w:cs="Times New Roman"/>
          <w:sz w:val="24"/>
          <w:szCs w:val="24"/>
        </w:rPr>
        <w:t>的血清样本，每个样本至少检测</w:t>
      </w:r>
      <w:r>
        <w:rPr>
          <w:rFonts w:ascii="Times New Roman" w:eastAsia="宋体" w:hAnsi="Times New Roman" w:cs="Times New Roman"/>
          <w:sz w:val="24"/>
          <w:szCs w:val="24"/>
        </w:rPr>
        <w:t>5</w:t>
      </w:r>
      <w:r>
        <w:rPr>
          <w:rFonts w:ascii="Times New Roman" w:eastAsia="宋体" w:hAnsi="Times New Roman" w:cs="Times New Roman"/>
          <w:sz w:val="24"/>
          <w:szCs w:val="24"/>
        </w:rPr>
        <w:t>批，每批重复检测各个样本至少</w:t>
      </w:r>
      <w:r>
        <w:rPr>
          <w:rFonts w:ascii="Times New Roman" w:eastAsia="宋体" w:hAnsi="Times New Roman" w:cs="Times New Roman"/>
          <w:sz w:val="24"/>
          <w:szCs w:val="24"/>
        </w:rPr>
        <w:t>3</w:t>
      </w:r>
      <w:r>
        <w:rPr>
          <w:rFonts w:ascii="Times New Roman" w:eastAsia="宋体" w:hAnsi="Times New Roman" w:cs="Times New Roman"/>
          <w:sz w:val="24"/>
          <w:szCs w:val="24"/>
        </w:rPr>
        <w:t>次。连续检测至少</w:t>
      </w:r>
      <w:r>
        <w:rPr>
          <w:rFonts w:ascii="Times New Roman" w:eastAsia="宋体" w:hAnsi="Times New Roman" w:cs="Times New Roman"/>
          <w:sz w:val="24"/>
          <w:szCs w:val="24"/>
        </w:rPr>
        <w:t>5</w:t>
      </w:r>
      <w:r>
        <w:rPr>
          <w:rFonts w:ascii="Times New Roman" w:eastAsia="宋体" w:hAnsi="Times New Roman" w:cs="Times New Roman"/>
          <w:sz w:val="24"/>
          <w:szCs w:val="24"/>
        </w:rPr>
        <w:t>天，计算变异系数（</w:t>
      </w:r>
      <w:r w:rsidR="00790599">
        <w:rPr>
          <w:rFonts w:ascii="Times New Roman" w:eastAsia="宋体" w:hAnsi="Times New Roman" w:cs="Times New Roman"/>
          <w:sz w:val="24"/>
          <w:szCs w:val="24"/>
        </w:rPr>
        <w:t>coefficient of variation</w:t>
      </w:r>
      <w:r w:rsidR="00790599">
        <w:rPr>
          <w:rFonts w:ascii="Times New Roman" w:eastAsia="宋体" w:hAnsi="Times New Roman" w:cs="Times New Roman"/>
          <w:sz w:val="24"/>
          <w:szCs w:val="24"/>
        </w:rPr>
        <w:t>，</w:t>
      </w:r>
      <w:r>
        <w:rPr>
          <w:rFonts w:ascii="Times New Roman" w:eastAsia="宋体" w:hAnsi="Times New Roman" w:cs="Times New Roman"/>
          <w:sz w:val="24"/>
          <w:szCs w:val="24"/>
        </w:rPr>
        <w:t>CV</w:t>
      </w:r>
      <w:r>
        <w:rPr>
          <w:rFonts w:ascii="Times New Roman" w:eastAsia="宋体" w:hAnsi="Times New Roman" w:cs="Times New Roman"/>
          <w:sz w:val="24"/>
          <w:szCs w:val="24"/>
        </w:rPr>
        <w:t>）。对于自动化检测方法</w:t>
      </w:r>
      <w:r>
        <w:rPr>
          <w:rFonts w:ascii="Times New Roman" w:eastAsia="宋体" w:hAnsi="Times New Roman" w:cs="Times New Roman" w:hint="eastAsia"/>
          <w:sz w:val="24"/>
          <w:szCs w:val="24"/>
        </w:rPr>
        <w:t>，</w:t>
      </w:r>
      <w:r>
        <w:rPr>
          <w:rFonts w:ascii="Times New Roman" w:eastAsia="宋体" w:hAnsi="Times New Roman" w:cs="Times New Roman"/>
          <w:sz w:val="24"/>
          <w:szCs w:val="24"/>
        </w:rPr>
        <w:t>批间变异系数（</w:t>
      </w:r>
      <w:r>
        <w:rPr>
          <w:rFonts w:ascii="Times New Roman" w:eastAsia="宋体" w:hAnsi="Times New Roman" w:cs="Times New Roman"/>
          <w:sz w:val="24"/>
          <w:szCs w:val="24"/>
        </w:rPr>
        <w:t>CV</w:t>
      </w:r>
      <w:r>
        <w:rPr>
          <w:rFonts w:ascii="Times New Roman" w:eastAsia="宋体" w:hAnsi="Times New Roman" w:cs="Times New Roman"/>
          <w:sz w:val="24"/>
          <w:szCs w:val="24"/>
        </w:rPr>
        <w:t>）应</w:t>
      </w:r>
      <w:r>
        <w:rPr>
          <w:rFonts w:ascii="Times New Roman" w:eastAsia="宋体" w:hAnsi="Times New Roman" w:cs="Times New Roman"/>
          <w:sz w:val="24"/>
          <w:szCs w:val="24"/>
        </w:rPr>
        <w:t xml:space="preserve"> ≤ 10%</w:t>
      </w:r>
      <w:r>
        <w:rPr>
          <w:rFonts w:ascii="Times New Roman" w:eastAsia="宋体" w:hAnsi="Times New Roman" w:cs="Times New Roman" w:hint="eastAsia"/>
          <w:sz w:val="24"/>
          <w:szCs w:val="24"/>
        </w:rPr>
        <w:t>；</w:t>
      </w:r>
      <w:r>
        <w:rPr>
          <w:rFonts w:ascii="Times New Roman" w:eastAsia="宋体" w:hAnsi="Times New Roman" w:cs="Times New Roman"/>
          <w:sz w:val="24"/>
          <w:szCs w:val="24"/>
        </w:rPr>
        <w:t>对于手工</w:t>
      </w:r>
      <w:r>
        <w:rPr>
          <w:rFonts w:ascii="Times New Roman" w:eastAsia="宋体" w:hAnsi="Times New Roman" w:cs="Times New Roman" w:hint="eastAsia"/>
          <w:sz w:val="24"/>
          <w:szCs w:val="24"/>
        </w:rPr>
        <w:t>方法，</w:t>
      </w:r>
      <w:r>
        <w:rPr>
          <w:rFonts w:ascii="Times New Roman" w:eastAsia="宋体" w:hAnsi="Times New Roman" w:cs="Times New Roman"/>
          <w:sz w:val="24"/>
          <w:szCs w:val="24"/>
        </w:rPr>
        <w:t>检测</w:t>
      </w:r>
      <w:r>
        <w:rPr>
          <w:rFonts w:ascii="Times New Roman" w:eastAsia="宋体" w:hAnsi="Times New Roman" w:cs="Times New Roman"/>
          <w:sz w:val="24"/>
          <w:szCs w:val="24"/>
        </w:rPr>
        <w:t>CV</w:t>
      </w:r>
      <w:r>
        <w:rPr>
          <w:rFonts w:ascii="Times New Roman" w:eastAsia="宋体" w:hAnsi="Times New Roman" w:cs="Times New Roman" w:hint="eastAsia"/>
          <w:sz w:val="24"/>
          <w:szCs w:val="24"/>
        </w:rPr>
        <w:t>最好低于</w:t>
      </w:r>
      <w:r>
        <w:rPr>
          <w:rFonts w:ascii="Times New Roman" w:eastAsia="宋体" w:hAnsi="Times New Roman" w:cs="Times New Roman"/>
          <w:sz w:val="24"/>
          <w:szCs w:val="24"/>
        </w:rPr>
        <w:t>15%</w:t>
      </w:r>
      <w:r>
        <w:rPr>
          <w:rFonts w:ascii="Times New Roman" w:eastAsia="宋体" w:hAnsi="Times New Roman" w:cs="Times New Roman" w:hint="eastAsia"/>
          <w:sz w:val="24"/>
          <w:szCs w:val="24"/>
        </w:rPr>
        <w:t>，最多不应高于</w:t>
      </w:r>
      <w:r>
        <w:rPr>
          <w:rFonts w:ascii="Times New Roman" w:eastAsia="宋体" w:hAnsi="Times New Roman" w:cs="Times New Roman" w:hint="eastAsia"/>
          <w:sz w:val="24"/>
          <w:szCs w:val="24"/>
        </w:rPr>
        <w:t>20%</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8,12-15</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08E23ECF" w14:textId="1907AD53" w:rsidR="005B791F" w:rsidRDefault="00000000">
      <w:pPr>
        <w:spacing w:after="160" w:line="360" w:lineRule="auto"/>
        <w:ind w:firstLine="420"/>
        <w:jc w:val="left"/>
        <w:rPr>
          <w:rFonts w:ascii="Times New Roman" w:eastAsia="宋体" w:hAnsi="Times New Roman" w:cs="Times New Roman"/>
          <w:color w:val="EE0000"/>
          <w:sz w:val="24"/>
          <w:szCs w:val="24"/>
        </w:rPr>
      </w:pPr>
      <w:r>
        <w:rPr>
          <w:rFonts w:ascii="Times New Roman" w:eastAsia="宋体" w:hAnsi="Times New Roman" w:cs="Times New Roman" w:hint="eastAsia"/>
          <w:b/>
          <w:bCs/>
          <w:sz w:val="24"/>
          <w:szCs w:val="24"/>
        </w:rPr>
        <w:t>5.2.2</w:t>
      </w:r>
      <w:r>
        <w:rPr>
          <w:rFonts w:ascii="Times New Roman" w:eastAsia="宋体" w:hAnsi="Times New Roman" w:cs="Times New Roman"/>
          <w:b/>
          <w:bCs/>
          <w:sz w:val="24"/>
          <w:szCs w:val="24"/>
        </w:rPr>
        <w:t>正确度验证</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建议</w:t>
      </w:r>
      <w:r>
        <w:rPr>
          <w:rFonts w:ascii="Times New Roman" w:eastAsia="宋体" w:hAnsi="Times New Roman" w:cs="Times New Roman"/>
          <w:sz w:val="24"/>
          <w:szCs w:val="24"/>
        </w:rPr>
        <w:t>选择</w:t>
      </w:r>
      <w:r>
        <w:rPr>
          <w:rFonts w:ascii="Times New Roman" w:eastAsia="宋体" w:hAnsi="Times New Roman" w:cs="Times New Roman" w:hint="eastAsia"/>
          <w:sz w:val="24"/>
          <w:szCs w:val="24"/>
        </w:rPr>
        <w:t>公认的参考方法</w:t>
      </w:r>
      <w:r>
        <w:rPr>
          <w:rFonts w:ascii="Times New Roman" w:eastAsia="宋体" w:hAnsi="Times New Roman" w:cs="Times New Roman"/>
          <w:sz w:val="24"/>
          <w:szCs w:val="24"/>
        </w:rPr>
        <w:t>或相对广泛、已知分析性能良好的其他常规检验方法为对比程序。建议选用患者样本，其浓度水平包括参考范围重要限值和临床</w:t>
      </w:r>
      <w:r w:rsidR="00836283">
        <w:rPr>
          <w:rFonts w:ascii="Times New Roman" w:eastAsia="宋体" w:hAnsi="Times New Roman" w:cs="Times New Roman" w:hint="eastAsia"/>
          <w:sz w:val="24"/>
          <w:szCs w:val="24"/>
        </w:rPr>
        <w:t>决定</w:t>
      </w:r>
      <w:r>
        <w:rPr>
          <w:rFonts w:ascii="Times New Roman" w:eastAsia="宋体" w:hAnsi="Times New Roman" w:cs="Times New Roman"/>
          <w:sz w:val="24"/>
          <w:szCs w:val="24"/>
        </w:rPr>
        <w:t>水平。每份样本一分为二，分别</w:t>
      </w:r>
      <w:r>
        <w:rPr>
          <w:rFonts w:ascii="Times New Roman" w:eastAsia="宋体" w:hAnsi="Times New Roman" w:cs="Times New Roman" w:hint="eastAsia"/>
          <w:sz w:val="24"/>
          <w:szCs w:val="24"/>
        </w:rPr>
        <w:t>用于</w:t>
      </w:r>
      <w:r>
        <w:rPr>
          <w:rFonts w:ascii="Times New Roman" w:eastAsia="宋体" w:hAnsi="Times New Roman" w:cs="Times New Roman"/>
          <w:sz w:val="24"/>
          <w:szCs w:val="24"/>
        </w:rPr>
        <w:t>对比程序和待验证程序</w:t>
      </w:r>
      <w:r>
        <w:rPr>
          <w:rFonts w:ascii="Times New Roman" w:eastAsia="宋体" w:hAnsi="Times New Roman" w:cs="Times New Roman" w:hint="eastAsia"/>
          <w:sz w:val="24"/>
          <w:szCs w:val="24"/>
        </w:rPr>
        <w:t>的检测</w:t>
      </w:r>
      <w:r>
        <w:rPr>
          <w:rFonts w:ascii="Times New Roman" w:eastAsia="宋体" w:hAnsi="Times New Roman" w:cs="Times New Roman"/>
          <w:sz w:val="24"/>
          <w:szCs w:val="24"/>
        </w:rPr>
        <w:t>。数据分析等参考</w:t>
      </w:r>
      <w:r>
        <w:rPr>
          <w:rFonts w:ascii="Times New Roman" w:eastAsia="宋体" w:hAnsi="Times New Roman" w:cs="Times New Roman"/>
          <w:sz w:val="24"/>
          <w:szCs w:val="24"/>
        </w:rPr>
        <w:t>WS/T 408—2024</w:t>
      </w:r>
      <w:r>
        <w:rPr>
          <w:rFonts w:ascii="Times New Roman" w:eastAsia="宋体" w:hAnsi="Times New Roman" w:cs="Times New Roman"/>
          <w:sz w:val="24"/>
          <w:szCs w:val="24"/>
        </w:rPr>
        <w:t>定量检验程序分析性能验证指南</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15,16</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p>
    <w:p w14:paraId="6A903442" w14:textId="25FE84B7" w:rsidR="005B791F" w:rsidRDefault="00000000">
      <w:pPr>
        <w:widowControl/>
        <w:spacing w:line="360" w:lineRule="auto"/>
        <w:ind w:firstLine="420"/>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5.2.3</w:t>
      </w:r>
      <w:r>
        <w:rPr>
          <w:rFonts w:ascii="Times New Roman" w:eastAsia="宋体" w:hAnsi="Times New Roman" w:cs="Times New Roman"/>
          <w:b/>
          <w:bCs/>
          <w:sz w:val="24"/>
          <w:szCs w:val="24"/>
        </w:rPr>
        <w:t>可报告范围验证</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可报告范围验证包括可报告低限（定量检测线性下限）与可报告高限（定量检测线性上限</w:t>
      </w:r>
      <w:r>
        <w:rPr>
          <w:rFonts w:ascii="Times New Roman" w:eastAsia="宋体" w:hAnsi="Times New Roman" w:cs="Times New Roman"/>
          <w:sz w:val="24"/>
          <w:szCs w:val="24"/>
        </w:rPr>
        <w:t>×</w:t>
      </w:r>
      <w:r>
        <w:rPr>
          <w:rFonts w:ascii="Times New Roman" w:eastAsia="宋体" w:hAnsi="Times New Roman" w:cs="Times New Roman"/>
          <w:sz w:val="24"/>
          <w:szCs w:val="24"/>
        </w:rPr>
        <w:t>样品最大允许稀释倍数）。选取低值和高值样本，在一次验证中将每个低值样品重复检测</w:t>
      </w:r>
      <w:r w:rsidR="00D0415E">
        <w:rPr>
          <w:rFonts w:ascii="Times New Roman" w:eastAsia="宋体" w:hAnsi="Times New Roman" w:cs="Times New Roman" w:hint="eastAsia"/>
          <w:sz w:val="24"/>
          <w:szCs w:val="24"/>
        </w:rPr>
        <w:t>5-</w:t>
      </w:r>
      <w:r>
        <w:rPr>
          <w:rFonts w:ascii="Times New Roman" w:eastAsia="宋体" w:hAnsi="Times New Roman" w:cs="Times New Roman"/>
          <w:sz w:val="24"/>
          <w:szCs w:val="24"/>
        </w:rPr>
        <w:t>10</w:t>
      </w:r>
      <w:r>
        <w:rPr>
          <w:rFonts w:ascii="Times New Roman" w:eastAsia="宋体" w:hAnsi="Times New Roman" w:cs="Times New Roman"/>
          <w:sz w:val="24"/>
          <w:szCs w:val="24"/>
        </w:rPr>
        <w:t>次，每个高值样品重复检测</w:t>
      </w:r>
      <w:r>
        <w:rPr>
          <w:rFonts w:ascii="Times New Roman" w:eastAsia="宋体" w:hAnsi="Times New Roman" w:cs="Times New Roman"/>
          <w:sz w:val="24"/>
          <w:szCs w:val="24"/>
        </w:rPr>
        <w:t>3</w:t>
      </w:r>
      <w:r>
        <w:rPr>
          <w:rFonts w:ascii="Times New Roman" w:eastAsia="宋体" w:hAnsi="Times New Roman" w:cs="Times New Roman"/>
          <w:sz w:val="24"/>
          <w:szCs w:val="24"/>
        </w:rPr>
        <w:t>次。数据分析等参考</w:t>
      </w:r>
      <w:r>
        <w:rPr>
          <w:rFonts w:ascii="Times New Roman" w:eastAsia="宋体" w:hAnsi="Times New Roman" w:cs="Times New Roman"/>
          <w:sz w:val="24"/>
          <w:szCs w:val="24"/>
        </w:rPr>
        <w:t>WS/T 804</w:t>
      </w:r>
      <w:r w:rsidR="007413E0">
        <w:rPr>
          <w:rFonts w:ascii="Times New Roman" w:eastAsia="宋体" w:hAnsi="Times New Roman" w:cs="Times New Roman"/>
          <w:sz w:val="24"/>
          <w:szCs w:val="24"/>
        </w:rPr>
        <w:t>-</w:t>
      </w:r>
      <w:r>
        <w:rPr>
          <w:rFonts w:ascii="Times New Roman" w:eastAsia="宋体" w:hAnsi="Times New Roman" w:cs="Times New Roman"/>
          <w:sz w:val="24"/>
          <w:szCs w:val="24"/>
        </w:rPr>
        <w:t xml:space="preserve">2022 </w:t>
      </w:r>
      <w:r>
        <w:rPr>
          <w:rFonts w:ascii="Times New Roman" w:eastAsia="宋体" w:hAnsi="Times New Roman" w:cs="Times New Roman"/>
          <w:sz w:val="24"/>
          <w:szCs w:val="24"/>
        </w:rPr>
        <w:t>临床化学检验基本技术标准</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17,18</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3931B67F" w14:textId="77777777" w:rsidR="005B791F" w:rsidRDefault="00000000">
      <w:pPr>
        <w:widowControl/>
        <w:spacing w:line="360" w:lineRule="auto"/>
        <w:ind w:firstLine="420"/>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5.2.4</w:t>
      </w:r>
      <w:r>
        <w:rPr>
          <w:rFonts w:ascii="Times New Roman" w:eastAsia="宋体" w:hAnsi="Times New Roman" w:cs="Times New Roman"/>
          <w:b/>
          <w:bCs/>
          <w:sz w:val="24"/>
          <w:szCs w:val="24"/>
        </w:rPr>
        <w:t>线性验证</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宜</w:t>
      </w:r>
      <w:r>
        <w:rPr>
          <w:rFonts w:ascii="Times New Roman" w:eastAsia="宋体" w:hAnsi="Times New Roman" w:cs="Times New Roman" w:hint="eastAsia"/>
          <w:sz w:val="24"/>
          <w:szCs w:val="24"/>
        </w:rPr>
        <w:t>采用</w:t>
      </w:r>
      <w:r>
        <w:rPr>
          <w:rFonts w:ascii="Times New Roman" w:eastAsia="宋体" w:hAnsi="Times New Roman" w:cs="Times New Roman"/>
          <w:sz w:val="24"/>
          <w:szCs w:val="24"/>
        </w:rPr>
        <w:t>患者样本，线性验证应检测至少</w:t>
      </w:r>
      <w:r>
        <w:rPr>
          <w:rFonts w:ascii="Times New Roman" w:eastAsia="宋体" w:hAnsi="Times New Roman" w:cs="Times New Roman"/>
          <w:sz w:val="24"/>
          <w:szCs w:val="24"/>
        </w:rPr>
        <w:t>5</w:t>
      </w:r>
      <w:r>
        <w:rPr>
          <w:rFonts w:ascii="Times New Roman" w:eastAsia="宋体" w:hAnsi="Times New Roman" w:cs="Times New Roman"/>
          <w:sz w:val="24"/>
          <w:szCs w:val="24"/>
        </w:rPr>
        <w:t>个浓度</w:t>
      </w:r>
      <w:r>
        <w:rPr>
          <w:rFonts w:ascii="Times New Roman" w:eastAsia="宋体" w:hAnsi="Times New Roman" w:cs="Times New Roman" w:hint="eastAsia"/>
          <w:sz w:val="24"/>
          <w:szCs w:val="24"/>
        </w:rPr>
        <w:t>水平</w:t>
      </w:r>
      <w:r>
        <w:rPr>
          <w:rFonts w:ascii="Times New Roman" w:eastAsia="宋体" w:hAnsi="Times New Roman" w:cs="Times New Roman"/>
          <w:sz w:val="24"/>
          <w:szCs w:val="24"/>
        </w:rPr>
        <w:t>的样品，其高值和低值应接近可报告范围的上下限</w:t>
      </w:r>
      <w:r>
        <w:rPr>
          <w:rFonts w:ascii="Times New Roman" w:eastAsia="宋体" w:hAnsi="Times New Roman" w:cs="Times New Roman" w:hint="eastAsia"/>
          <w:sz w:val="24"/>
          <w:szCs w:val="24"/>
        </w:rPr>
        <w:t>。</w:t>
      </w:r>
      <w:r>
        <w:rPr>
          <w:rFonts w:ascii="Times New Roman" w:eastAsia="宋体" w:hAnsi="Times New Roman" w:cs="Times New Roman"/>
          <w:sz w:val="24"/>
          <w:szCs w:val="24"/>
        </w:rPr>
        <w:t>每个样品重复检测至少</w:t>
      </w:r>
      <w:r>
        <w:rPr>
          <w:rFonts w:ascii="Times New Roman" w:eastAsia="宋体" w:hAnsi="Times New Roman" w:cs="Times New Roman"/>
          <w:sz w:val="24"/>
          <w:szCs w:val="24"/>
        </w:rPr>
        <w:t>3</w:t>
      </w:r>
      <w:r>
        <w:rPr>
          <w:rFonts w:ascii="Times New Roman" w:eastAsia="宋体" w:hAnsi="Times New Roman" w:cs="Times New Roman"/>
          <w:sz w:val="24"/>
          <w:szCs w:val="24"/>
        </w:rPr>
        <w:t>次，可在</w:t>
      </w:r>
      <w:r>
        <w:rPr>
          <w:rFonts w:ascii="Times New Roman" w:eastAsia="宋体" w:hAnsi="Times New Roman" w:cs="Times New Roman" w:hint="eastAsia"/>
          <w:sz w:val="24"/>
          <w:szCs w:val="24"/>
        </w:rPr>
        <w:t>同一批次内</w:t>
      </w:r>
      <w:r>
        <w:rPr>
          <w:rFonts w:ascii="Times New Roman" w:eastAsia="宋体" w:hAnsi="Times New Roman" w:cs="Times New Roman"/>
          <w:sz w:val="24"/>
          <w:szCs w:val="24"/>
        </w:rPr>
        <w:t>完成。数据分析等参考</w:t>
      </w:r>
      <w:r>
        <w:rPr>
          <w:rFonts w:ascii="Times New Roman" w:eastAsia="宋体" w:hAnsi="Times New Roman" w:cs="Times New Roman"/>
          <w:sz w:val="24"/>
          <w:szCs w:val="24"/>
        </w:rPr>
        <w:t>WS/T 408—2024</w:t>
      </w:r>
      <w:r>
        <w:rPr>
          <w:rFonts w:ascii="Times New Roman" w:eastAsia="宋体" w:hAnsi="Times New Roman" w:cs="Times New Roman"/>
          <w:sz w:val="24"/>
          <w:szCs w:val="24"/>
        </w:rPr>
        <w:t>定量检验程序分析性能验证指南</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15,19</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4332FCE7" w14:textId="77777777" w:rsidR="005B791F" w:rsidRDefault="00000000">
      <w:pPr>
        <w:spacing w:line="360" w:lineRule="auto"/>
        <w:ind w:firstLine="420"/>
        <w:jc w:val="left"/>
        <w:rPr>
          <w:rFonts w:ascii="Times New Roman" w:eastAsia="宋体" w:hAnsi="Times New Roman" w:cs="Times New Roman"/>
        </w:rPr>
      </w:pPr>
      <w:r>
        <w:rPr>
          <w:rFonts w:ascii="Times New Roman" w:eastAsia="宋体" w:hAnsi="Times New Roman" w:cs="Times New Roman" w:hint="eastAsia"/>
          <w:b/>
          <w:bCs/>
          <w:sz w:val="24"/>
          <w:szCs w:val="24"/>
        </w:rPr>
        <w:t>5.2.5</w:t>
      </w:r>
      <w:r>
        <w:rPr>
          <w:rFonts w:ascii="Times New Roman" w:eastAsia="宋体" w:hAnsi="Times New Roman" w:cs="Times New Roman"/>
          <w:b/>
          <w:bCs/>
          <w:sz w:val="24"/>
          <w:szCs w:val="24"/>
        </w:rPr>
        <w:t>特异性验证</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）通过干扰因素验证特异性，应评估常见内源性和外源性干扰物质对检测结果的影响，如类风湿因子（</w:t>
      </w:r>
      <w:r w:rsidRPr="001E307D">
        <w:rPr>
          <w:rFonts w:ascii="Times New Roman" w:eastAsia="宋体" w:hAnsi="Times New Roman" w:cs="Times New Roman"/>
          <w:sz w:val="24"/>
          <w:szCs w:val="24"/>
        </w:rPr>
        <w:t>rheumatoid factor</w:t>
      </w:r>
      <w:r w:rsidRPr="001E307D">
        <w:rPr>
          <w:rFonts w:ascii="Times New Roman" w:eastAsia="宋体" w:hAnsi="Times New Roman" w:cs="Times New Roman"/>
          <w:sz w:val="24"/>
          <w:szCs w:val="24"/>
        </w:rPr>
        <w:t>，</w:t>
      </w:r>
      <w:r w:rsidRPr="001E307D">
        <w:rPr>
          <w:rFonts w:ascii="Times New Roman" w:eastAsia="宋体" w:hAnsi="Times New Roman" w:cs="Times New Roman"/>
          <w:sz w:val="24"/>
          <w:szCs w:val="24"/>
        </w:rPr>
        <w:t>RF</w:t>
      </w:r>
      <w:r>
        <w:rPr>
          <w:rFonts w:ascii="Times New Roman" w:eastAsia="宋体" w:hAnsi="Times New Roman" w:cs="Times New Roman"/>
          <w:sz w:val="24"/>
          <w:szCs w:val="24"/>
        </w:rPr>
        <w:t>）阳性、脂血、溶血、黄疸</w:t>
      </w:r>
      <w:r>
        <w:rPr>
          <w:rFonts w:ascii="Times New Roman" w:eastAsia="宋体" w:hAnsi="Times New Roman" w:cs="Times New Roman" w:hint="eastAsia"/>
          <w:sz w:val="24"/>
          <w:szCs w:val="24"/>
        </w:rPr>
        <w:t>、</w:t>
      </w:r>
      <w:r>
        <w:rPr>
          <w:rFonts w:ascii="Times New Roman" w:eastAsia="宋体" w:hAnsi="Times New Roman" w:cs="Times New Roman"/>
          <w:sz w:val="24"/>
          <w:szCs w:val="24"/>
        </w:rPr>
        <w:t>异嗜性抗体</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人抗动物抗体和高水平（单克隆）免疫球蛋白</w:t>
      </w:r>
      <w:r>
        <w:rPr>
          <w:rFonts w:ascii="Times New Roman" w:eastAsia="宋体" w:hAnsi="Times New Roman" w:cs="Times New Roman" w:hint="eastAsia"/>
          <w:sz w:val="24"/>
          <w:szCs w:val="24"/>
        </w:rPr>
        <w:t>等</w:t>
      </w:r>
      <w:r>
        <w:rPr>
          <w:rFonts w:ascii="Times New Roman" w:eastAsia="宋体" w:hAnsi="Times New Roman" w:cs="Times New Roman"/>
          <w:sz w:val="24"/>
          <w:szCs w:val="24"/>
        </w:rPr>
        <w:t>。具体可参考</w:t>
      </w:r>
      <w:r>
        <w:rPr>
          <w:rFonts w:ascii="Times New Roman" w:eastAsia="宋体" w:hAnsi="Times New Roman" w:cs="Times New Roman"/>
          <w:sz w:val="24"/>
          <w:szCs w:val="24"/>
        </w:rPr>
        <w:t>WS/T 408</w:t>
      </w:r>
      <w:r w:rsidR="005A381C">
        <w:rPr>
          <w:rFonts w:ascii="Times New Roman" w:eastAsia="宋体" w:hAnsi="Times New Roman" w:cs="Times New Roman"/>
          <w:sz w:val="24"/>
          <w:szCs w:val="24"/>
        </w:rPr>
        <w:t>-</w:t>
      </w:r>
      <w:r>
        <w:rPr>
          <w:rFonts w:ascii="Times New Roman" w:eastAsia="宋体" w:hAnsi="Times New Roman" w:cs="Times New Roman"/>
          <w:sz w:val="24"/>
          <w:szCs w:val="24"/>
        </w:rPr>
        <w:t>2024</w:t>
      </w:r>
      <w:r>
        <w:rPr>
          <w:rFonts w:ascii="Times New Roman" w:eastAsia="宋体" w:hAnsi="Times New Roman" w:cs="Times New Roman"/>
          <w:sz w:val="24"/>
          <w:szCs w:val="24"/>
        </w:rPr>
        <w:t>定量检验程序分析性能验证指南。</w:t>
      </w:r>
    </w:p>
    <w:p w14:paraId="161D10CC" w14:textId="77777777" w:rsidR="005B791F" w:rsidRDefault="00000000">
      <w:pPr>
        <w:spacing w:after="160"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）通过程序比对验证特异性，</w:t>
      </w:r>
      <w:r>
        <w:rPr>
          <w:rFonts w:ascii="Times New Roman" w:eastAsia="宋体" w:hAnsi="Times New Roman" w:cs="Times New Roman" w:hint="eastAsia"/>
          <w:sz w:val="24"/>
          <w:szCs w:val="24"/>
        </w:rPr>
        <w:t>验证过程同</w:t>
      </w:r>
      <w:r>
        <w:rPr>
          <w:rFonts w:ascii="Times New Roman" w:eastAsia="宋体" w:hAnsi="Times New Roman" w:cs="Times New Roman" w:hint="eastAsia"/>
          <w:sz w:val="24"/>
          <w:szCs w:val="24"/>
        </w:rPr>
        <w:t>5.2.2</w:t>
      </w:r>
      <w:r>
        <w:rPr>
          <w:rFonts w:ascii="Times New Roman" w:eastAsia="宋体" w:hAnsi="Times New Roman" w:cs="Times New Roman"/>
          <w:sz w:val="24"/>
          <w:szCs w:val="24"/>
        </w:rPr>
        <w:t>。数据分析等参考</w:t>
      </w:r>
      <w:r>
        <w:rPr>
          <w:rFonts w:ascii="Times New Roman" w:eastAsia="宋体" w:hAnsi="Times New Roman" w:cs="Times New Roman"/>
          <w:sz w:val="24"/>
          <w:szCs w:val="24"/>
        </w:rPr>
        <w:t>WS/T 408</w:t>
      </w:r>
      <w:r w:rsidR="007413E0">
        <w:rPr>
          <w:rFonts w:ascii="Times New Roman" w:eastAsia="宋体" w:hAnsi="Times New Roman" w:cs="Times New Roman"/>
          <w:sz w:val="24"/>
          <w:szCs w:val="24"/>
        </w:rPr>
        <w:t>-</w:t>
      </w:r>
      <w:r>
        <w:rPr>
          <w:rFonts w:ascii="Times New Roman" w:eastAsia="宋体" w:hAnsi="Times New Roman" w:cs="Times New Roman"/>
          <w:sz w:val="24"/>
          <w:szCs w:val="24"/>
        </w:rPr>
        <w:t>2024</w:t>
      </w:r>
      <w:r>
        <w:rPr>
          <w:rFonts w:ascii="Times New Roman" w:eastAsia="宋体" w:hAnsi="Times New Roman" w:cs="Times New Roman"/>
          <w:sz w:val="24"/>
          <w:szCs w:val="24"/>
        </w:rPr>
        <w:t>定量检验程序分析性能验证指南</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15,20</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741A24A5" w14:textId="77777777" w:rsidR="005B791F" w:rsidRDefault="00000000">
      <w:pPr>
        <w:widowControl/>
        <w:spacing w:line="360" w:lineRule="auto"/>
        <w:ind w:firstLine="420"/>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5.2.6</w:t>
      </w:r>
      <w:r>
        <w:rPr>
          <w:rFonts w:ascii="Times New Roman" w:eastAsia="宋体" w:hAnsi="Times New Roman" w:cs="Times New Roman"/>
          <w:b/>
          <w:bCs/>
          <w:sz w:val="24"/>
          <w:szCs w:val="24"/>
        </w:rPr>
        <w:t>样本稳定性：</w:t>
      </w:r>
      <w:r>
        <w:rPr>
          <w:rFonts w:ascii="Times New Roman" w:eastAsia="宋体" w:hAnsi="Times New Roman" w:cs="Times New Roman"/>
          <w:sz w:val="24"/>
          <w:szCs w:val="24"/>
        </w:rPr>
        <w:t>建议最少纳入</w:t>
      </w:r>
      <w:r>
        <w:rPr>
          <w:rFonts w:ascii="Times New Roman" w:eastAsia="宋体" w:hAnsi="Times New Roman" w:cs="Times New Roman"/>
          <w:sz w:val="24"/>
          <w:szCs w:val="24"/>
        </w:rPr>
        <w:t>5</w:t>
      </w:r>
      <w:r>
        <w:rPr>
          <w:rFonts w:ascii="Times New Roman" w:eastAsia="宋体" w:hAnsi="Times New Roman" w:cs="Times New Roman"/>
          <w:sz w:val="24"/>
          <w:szCs w:val="24"/>
        </w:rPr>
        <w:t>例患者样本（</w:t>
      </w:r>
      <w:r>
        <w:rPr>
          <w:rFonts w:ascii="Times New Roman" w:eastAsia="宋体" w:hAnsi="Times New Roman" w:cs="Times New Roman"/>
          <w:sz w:val="24"/>
          <w:szCs w:val="24"/>
        </w:rPr>
        <w:t>3</w:t>
      </w:r>
      <w:r>
        <w:rPr>
          <w:rFonts w:ascii="Times New Roman" w:eastAsia="宋体" w:hAnsi="Times New Roman" w:cs="Times New Roman"/>
          <w:sz w:val="24"/>
          <w:szCs w:val="24"/>
        </w:rPr>
        <w:t>个阳性，</w:t>
      </w:r>
      <w:r>
        <w:rPr>
          <w:rFonts w:ascii="Times New Roman" w:eastAsia="宋体" w:hAnsi="Times New Roman" w:cs="Times New Roman"/>
          <w:sz w:val="24"/>
          <w:szCs w:val="24"/>
        </w:rPr>
        <w:t>2</w:t>
      </w:r>
      <w:r>
        <w:rPr>
          <w:rFonts w:ascii="Times New Roman" w:eastAsia="宋体" w:hAnsi="Times New Roman" w:cs="Times New Roman"/>
          <w:sz w:val="24"/>
          <w:szCs w:val="24"/>
        </w:rPr>
        <w:t>个阴性），以</w:t>
      </w:r>
      <w:r>
        <w:rPr>
          <w:rFonts w:ascii="Times New Roman" w:eastAsia="宋体" w:hAnsi="Times New Roman" w:cs="Times New Roman" w:hint="eastAsia"/>
          <w:sz w:val="24"/>
          <w:szCs w:val="24"/>
        </w:rPr>
        <w:t>即刻</w:t>
      </w:r>
      <w:r>
        <w:rPr>
          <w:rFonts w:ascii="Times New Roman" w:eastAsia="宋体" w:hAnsi="Times New Roman" w:cs="Times New Roman"/>
          <w:sz w:val="24"/>
          <w:szCs w:val="24"/>
        </w:rPr>
        <w:t>检测结果为基线水平。</w:t>
      </w:r>
      <w:r>
        <w:rPr>
          <w:rFonts w:ascii="Times New Roman" w:eastAsia="宋体" w:hAnsi="Times New Roman" w:cs="Times New Roman" w:hint="eastAsia"/>
          <w:sz w:val="24"/>
          <w:szCs w:val="24"/>
        </w:rPr>
        <w:t>在</w:t>
      </w:r>
      <w:r>
        <w:rPr>
          <w:rFonts w:ascii="Times New Roman" w:eastAsia="宋体" w:hAnsi="Times New Roman" w:cs="Times New Roman"/>
          <w:sz w:val="24"/>
          <w:szCs w:val="24"/>
        </w:rPr>
        <w:t>预设的储存条件（温度、时间）和实验室环境温度控制条件</w:t>
      </w:r>
      <w:r>
        <w:rPr>
          <w:rFonts w:ascii="Times New Roman" w:eastAsia="宋体" w:hAnsi="Times New Roman" w:cs="Times New Roman" w:hint="eastAsia"/>
          <w:sz w:val="24"/>
          <w:szCs w:val="24"/>
        </w:rPr>
        <w:t>下</w:t>
      </w:r>
      <w:r>
        <w:rPr>
          <w:rFonts w:ascii="Times New Roman" w:eastAsia="宋体" w:hAnsi="Times New Roman" w:cs="Times New Roman"/>
          <w:sz w:val="24"/>
          <w:szCs w:val="24"/>
        </w:rPr>
        <w:t>，对上述样本进行重复检测，以相对偏差或绝对偏差表示，检测结果应符合实验室的验证要求。也可以对试剂盒说明书中的稳定性条件进行验证。</w:t>
      </w:r>
    </w:p>
    <w:p w14:paraId="29FCB32C" w14:textId="636CE298" w:rsidR="005B791F" w:rsidRDefault="00000000">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b/>
          <w:bCs/>
          <w:sz w:val="24"/>
          <w:szCs w:val="24"/>
        </w:rPr>
        <w:t>5.2.7</w:t>
      </w:r>
      <w:r>
        <w:rPr>
          <w:rFonts w:ascii="Times New Roman" w:eastAsia="宋体" w:hAnsi="Times New Roman" w:cs="Times New Roman"/>
          <w:b/>
          <w:bCs/>
          <w:sz w:val="24"/>
          <w:szCs w:val="24"/>
        </w:rPr>
        <w:t>临床验证：</w:t>
      </w:r>
      <w:r>
        <w:rPr>
          <w:rFonts w:ascii="Times New Roman" w:eastAsia="宋体" w:hAnsi="Times New Roman" w:cs="Times New Roman"/>
          <w:sz w:val="24"/>
          <w:szCs w:val="24"/>
        </w:rPr>
        <w:t>建议最少纳入</w:t>
      </w:r>
      <w:r>
        <w:rPr>
          <w:rFonts w:ascii="Times New Roman" w:eastAsia="宋体" w:hAnsi="Times New Roman" w:cs="Times New Roman"/>
          <w:sz w:val="24"/>
          <w:szCs w:val="24"/>
        </w:rPr>
        <w:t>20</w:t>
      </w:r>
      <w:r>
        <w:rPr>
          <w:rFonts w:ascii="Times New Roman" w:eastAsia="宋体" w:hAnsi="Times New Roman" w:cs="Times New Roman"/>
          <w:sz w:val="24"/>
          <w:szCs w:val="24"/>
        </w:rPr>
        <w:t>例临床</w:t>
      </w:r>
      <w:r>
        <w:rPr>
          <w:rFonts w:ascii="Times New Roman" w:eastAsia="宋体" w:hAnsi="Times New Roman" w:cs="Times New Roman" w:hint="eastAsia"/>
          <w:sz w:val="24"/>
          <w:szCs w:val="24"/>
        </w:rPr>
        <w:t>确诊</w:t>
      </w:r>
      <w:r>
        <w:rPr>
          <w:rFonts w:ascii="Times New Roman" w:eastAsia="宋体" w:hAnsi="Times New Roman" w:cs="Times New Roman"/>
          <w:sz w:val="24"/>
          <w:szCs w:val="24"/>
        </w:rPr>
        <w:t>APS</w:t>
      </w:r>
      <w:r>
        <w:rPr>
          <w:rFonts w:ascii="Times New Roman" w:eastAsia="宋体" w:hAnsi="Times New Roman" w:cs="Times New Roman"/>
          <w:sz w:val="24"/>
          <w:szCs w:val="24"/>
        </w:rPr>
        <w:t>患者</w:t>
      </w:r>
      <w:r>
        <w:rPr>
          <w:rFonts w:ascii="Times New Roman" w:eastAsia="宋体" w:hAnsi="Times New Roman" w:cs="Times New Roman" w:hint="eastAsia"/>
          <w:sz w:val="24"/>
          <w:szCs w:val="24"/>
        </w:rPr>
        <w:t>及健康对照</w:t>
      </w:r>
      <w:r>
        <w:rPr>
          <w:rFonts w:ascii="Times New Roman" w:eastAsia="宋体" w:hAnsi="Times New Roman" w:cs="Times New Roman"/>
          <w:sz w:val="24"/>
          <w:szCs w:val="24"/>
        </w:rPr>
        <w:t>（最少</w:t>
      </w:r>
      <w:r>
        <w:rPr>
          <w:rFonts w:ascii="Times New Roman" w:eastAsia="宋体" w:hAnsi="Times New Roman" w:cs="Times New Roman"/>
          <w:sz w:val="24"/>
          <w:szCs w:val="24"/>
        </w:rPr>
        <w:t>10</w:t>
      </w:r>
      <w:r>
        <w:rPr>
          <w:rFonts w:ascii="Times New Roman" w:eastAsia="宋体" w:hAnsi="Times New Roman" w:cs="Times New Roman"/>
          <w:sz w:val="24"/>
          <w:szCs w:val="24"/>
        </w:rPr>
        <w:t>个阴性，</w:t>
      </w:r>
      <w:r>
        <w:rPr>
          <w:rFonts w:ascii="Times New Roman" w:eastAsia="宋体" w:hAnsi="Times New Roman" w:cs="Times New Roman"/>
          <w:sz w:val="24"/>
          <w:szCs w:val="24"/>
        </w:rPr>
        <w:t>10</w:t>
      </w:r>
      <w:r>
        <w:rPr>
          <w:rFonts w:ascii="Times New Roman" w:eastAsia="宋体" w:hAnsi="Times New Roman" w:cs="Times New Roman"/>
          <w:sz w:val="24"/>
          <w:szCs w:val="24"/>
        </w:rPr>
        <w:t>个阳性），</w:t>
      </w:r>
      <w:r>
        <w:rPr>
          <w:rFonts w:ascii="Times New Roman" w:eastAsia="宋体" w:hAnsi="Times New Roman" w:cs="Times New Roman" w:hint="eastAsia"/>
          <w:sz w:val="24"/>
          <w:szCs w:val="24"/>
        </w:rPr>
        <w:t>采用</w:t>
      </w:r>
      <w:r>
        <w:rPr>
          <w:rFonts w:ascii="Times New Roman" w:eastAsia="宋体" w:hAnsi="Times New Roman" w:cs="Times New Roman"/>
          <w:sz w:val="24"/>
          <w:szCs w:val="24"/>
        </w:rPr>
        <w:t>待验证程序和对比程序进行</w:t>
      </w:r>
      <w:r>
        <w:rPr>
          <w:rFonts w:ascii="Times New Roman" w:eastAsia="宋体" w:hAnsi="Times New Roman" w:cs="Times New Roman" w:hint="eastAsia"/>
          <w:sz w:val="24"/>
          <w:szCs w:val="24"/>
        </w:rPr>
        <w:t>平行</w:t>
      </w:r>
      <w:r>
        <w:rPr>
          <w:rFonts w:ascii="Times New Roman" w:eastAsia="宋体" w:hAnsi="Times New Roman" w:cs="Times New Roman"/>
          <w:sz w:val="24"/>
          <w:szCs w:val="24"/>
        </w:rPr>
        <w:t>检测，通过</w:t>
      </w:r>
      <w:r>
        <w:rPr>
          <w:rFonts w:ascii="Times New Roman" w:eastAsia="宋体" w:hAnsi="Times New Roman" w:cs="Times New Roman"/>
          <w:sz w:val="24"/>
          <w:szCs w:val="24"/>
        </w:rPr>
        <w:t>ROC</w:t>
      </w:r>
      <w:r>
        <w:rPr>
          <w:rFonts w:ascii="Times New Roman" w:eastAsia="宋体" w:hAnsi="Times New Roman" w:cs="Times New Roman"/>
          <w:sz w:val="24"/>
          <w:szCs w:val="24"/>
        </w:rPr>
        <w:t>分析，</w:t>
      </w:r>
      <w:r>
        <w:rPr>
          <w:rFonts w:ascii="Times New Roman" w:eastAsia="宋体" w:hAnsi="Times New Roman" w:cs="Times New Roman" w:hint="eastAsia"/>
          <w:sz w:val="24"/>
          <w:szCs w:val="24"/>
        </w:rPr>
        <w:t>评估并比较两种方法的</w:t>
      </w:r>
      <w:r>
        <w:rPr>
          <w:rFonts w:ascii="Times New Roman" w:eastAsia="宋体" w:hAnsi="Times New Roman" w:cs="Times New Roman"/>
          <w:sz w:val="24"/>
          <w:szCs w:val="24"/>
        </w:rPr>
        <w:t>临床灵敏度、特异度、</w:t>
      </w:r>
      <w:r>
        <w:rPr>
          <w:rFonts w:ascii="Times New Roman" w:eastAsia="宋体" w:hAnsi="Times New Roman" w:cs="Times New Roman" w:hint="eastAsia"/>
          <w:sz w:val="24"/>
          <w:szCs w:val="24"/>
        </w:rPr>
        <w:t>曲线下面积（</w:t>
      </w:r>
      <w:r w:rsidR="0040191C" w:rsidRPr="0040191C">
        <w:rPr>
          <w:rFonts w:ascii="Times New Roman" w:eastAsia="宋体" w:hAnsi="Times New Roman" w:cs="Times New Roman"/>
          <w:sz w:val="24"/>
          <w:szCs w:val="24"/>
        </w:rPr>
        <w:t>Area Under the Curve</w:t>
      </w:r>
      <w:r w:rsidR="0040191C">
        <w:rPr>
          <w:rFonts w:ascii="Times New Roman" w:eastAsia="宋体" w:hAnsi="Times New Roman" w:cs="Times New Roman" w:hint="eastAsia"/>
          <w:sz w:val="24"/>
          <w:szCs w:val="24"/>
        </w:rPr>
        <w:t>，</w:t>
      </w:r>
      <w:r>
        <w:rPr>
          <w:rFonts w:ascii="Times New Roman" w:eastAsia="宋体" w:hAnsi="Times New Roman" w:cs="Times New Roman"/>
          <w:sz w:val="24"/>
          <w:szCs w:val="24"/>
        </w:rPr>
        <w:t>AUC</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临床界值（</w:t>
      </w:r>
      <w:r>
        <w:rPr>
          <w:rFonts w:ascii="Times New Roman" w:eastAsia="宋体" w:hAnsi="Times New Roman" w:cs="Times New Roman"/>
          <w:sz w:val="24"/>
          <w:szCs w:val="24"/>
        </w:rPr>
        <w:t>Cut-off</w:t>
      </w:r>
      <w:r w:rsidR="0040191C">
        <w:rPr>
          <w:rFonts w:ascii="Times New Roman" w:eastAsia="宋体" w:hAnsi="Times New Roman" w:cs="Times New Roman" w:hint="eastAsia"/>
          <w:sz w:val="24"/>
          <w:szCs w:val="24"/>
        </w:rPr>
        <w:t>值</w:t>
      </w:r>
      <w:r>
        <w:rPr>
          <w:rFonts w:ascii="Times New Roman" w:eastAsia="宋体" w:hAnsi="Times New Roman" w:cs="Times New Roman" w:hint="eastAsia"/>
          <w:sz w:val="24"/>
          <w:szCs w:val="24"/>
        </w:rPr>
        <w:t>）</w:t>
      </w:r>
      <w:r>
        <w:rPr>
          <w:rFonts w:ascii="Times New Roman" w:eastAsia="宋体" w:hAnsi="Times New Roman" w:cs="Times New Roman"/>
          <w:sz w:val="24"/>
          <w:szCs w:val="24"/>
        </w:rPr>
        <w:t>等</w:t>
      </w:r>
      <w:r>
        <w:rPr>
          <w:rFonts w:ascii="Times New Roman" w:eastAsia="宋体" w:hAnsi="Times New Roman" w:cs="Times New Roman" w:hint="eastAsia"/>
          <w:sz w:val="24"/>
          <w:szCs w:val="24"/>
        </w:rPr>
        <w:t>性能参数</w:t>
      </w:r>
      <w:r>
        <w:rPr>
          <w:rFonts w:ascii="Times New Roman" w:eastAsia="宋体" w:hAnsi="Times New Roman" w:cs="Times New Roman"/>
          <w:sz w:val="24"/>
          <w:szCs w:val="24"/>
        </w:rPr>
        <w:t>。比较两种程序准确分类</w:t>
      </w:r>
      <w:r>
        <w:rPr>
          <w:rFonts w:ascii="Times New Roman" w:eastAsia="宋体" w:hAnsi="Times New Roman" w:cs="Times New Roman"/>
          <w:sz w:val="24"/>
          <w:szCs w:val="24"/>
        </w:rPr>
        <w:t>APS</w:t>
      </w:r>
      <w:r>
        <w:rPr>
          <w:rFonts w:ascii="Times New Roman" w:eastAsia="宋体" w:hAnsi="Times New Roman" w:cs="Times New Roman"/>
          <w:sz w:val="24"/>
          <w:szCs w:val="24"/>
        </w:rPr>
        <w:t>患者的能力。两种方法对</w:t>
      </w:r>
      <w:r>
        <w:rPr>
          <w:rFonts w:ascii="Times New Roman" w:eastAsia="宋体" w:hAnsi="Times New Roman" w:cs="Times New Roman"/>
          <w:sz w:val="24"/>
          <w:szCs w:val="24"/>
        </w:rPr>
        <w:t>APS</w:t>
      </w:r>
      <w:r>
        <w:rPr>
          <w:rFonts w:ascii="Times New Roman" w:eastAsia="宋体" w:hAnsi="Times New Roman" w:cs="Times New Roman"/>
          <w:sz w:val="24"/>
          <w:szCs w:val="24"/>
        </w:rPr>
        <w:t>患者的总体分类一致性应</w:t>
      </w:r>
      <w:r>
        <w:t>≥</w:t>
      </w:r>
      <w:r>
        <w:rPr>
          <w:rFonts w:ascii="Times New Roman" w:eastAsia="宋体" w:hAnsi="Times New Roman" w:cs="Times New Roman"/>
          <w:sz w:val="24"/>
          <w:szCs w:val="24"/>
        </w:rPr>
        <w:t>90%</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ADDIN NE.Ref.{90BBAF28-8950-4CA7-AE9E-22E54F60F152}</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w:t>
      </w:r>
    </w:p>
    <w:p w14:paraId="5E7261BE" w14:textId="77777777" w:rsidR="005B791F" w:rsidRDefault="00000000" w:rsidP="0063766E">
      <w:pPr>
        <w:pStyle w:val="1"/>
        <w:rPr>
          <w:rFonts w:ascii="Times New Roman" w:eastAsia="宋体" w:hAnsi="Times New Roman" w:cs="Times New Roman"/>
          <w:b/>
          <w:bCs/>
          <w:sz w:val="24"/>
          <w:szCs w:val="24"/>
        </w:rPr>
      </w:pPr>
      <w:bookmarkStart w:id="9" w:name="_Toc210991465"/>
      <w:r>
        <w:rPr>
          <w:rFonts w:ascii="Times New Roman" w:eastAsia="宋体" w:hAnsi="Times New Roman" w:cs="Times New Roman"/>
          <w:b/>
          <w:bCs/>
          <w:sz w:val="24"/>
          <w:szCs w:val="24"/>
        </w:rPr>
        <w:t xml:space="preserve">6 </w:t>
      </w:r>
      <w:r>
        <w:rPr>
          <w:rFonts w:ascii="Times New Roman" w:eastAsia="宋体" w:hAnsi="Times New Roman" w:cs="Times New Roman"/>
          <w:b/>
          <w:bCs/>
          <w:sz w:val="24"/>
          <w:szCs w:val="24"/>
        </w:rPr>
        <w:t>检验前过程</w:t>
      </w:r>
      <w:bookmarkEnd w:id="9"/>
    </w:p>
    <w:p w14:paraId="651CB028" w14:textId="4B0E8B70" w:rsidR="005B791F" w:rsidRDefault="00000000" w:rsidP="00D357CB">
      <w:pPr>
        <w:widowControl/>
        <w:spacing w:line="360" w:lineRule="auto"/>
        <w:ind w:firstLine="420"/>
        <w:jc w:val="left"/>
        <w:rPr>
          <w:rFonts w:ascii="Times New Roman" w:eastAsia="宋体" w:hAnsi="Times New Roman" w:cs="Times New Roman"/>
          <w:b/>
          <w:bCs/>
          <w:sz w:val="24"/>
          <w:szCs w:val="24"/>
        </w:rPr>
      </w:pPr>
      <w:r>
        <w:rPr>
          <w:rFonts w:ascii="Times New Roman" w:eastAsia="宋体" w:hAnsi="Times New Roman" w:cs="Times New Roman" w:hint="eastAsia"/>
          <w:sz w:val="24"/>
          <w:szCs w:val="24"/>
        </w:rPr>
        <w:t>检测样本建议使用无溶血、脂血的血清。试剂厂家应说明</w:t>
      </w:r>
      <w:r w:rsidR="000E1366">
        <w:rPr>
          <w:rFonts w:ascii="Times New Roman" w:eastAsia="宋体" w:hAnsi="Times New Roman" w:cs="Times New Roman" w:hint="eastAsia"/>
          <w:sz w:val="24"/>
          <w:szCs w:val="24"/>
        </w:rPr>
        <w:t>试剂盒</w:t>
      </w:r>
      <w:r>
        <w:rPr>
          <w:rFonts w:ascii="Times New Roman" w:eastAsia="宋体" w:hAnsi="Times New Roman" w:cs="Times New Roman" w:hint="eastAsia"/>
          <w:sz w:val="24"/>
          <w:szCs w:val="24"/>
        </w:rPr>
        <w:t>检测</w:t>
      </w:r>
      <w:r w:rsidR="000E1366">
        <w:rPr>
          <w:rFonts w:ascii="Times New Roman" w:eastAsia="宋体" w:hAnsi="Times New Roman" w:cs="Times New Roman" w:hint="eastAsia"/>
          <w:sz w:val="24"/>
          <w:szCs w:val="24"/>
        </w:rPr>
        <w:t>所需</w:t>
      </w:r>
      <w:r>
        <w:rPr>
          <w:rFonts w:ascii="Times New Roman" w:eastAsia="宋体" w:hAnsi="Times New Roman" w:cs="Times New Roman" w:hint="eastAsia"/>
          <w:sz w:val="24"/>
          <w:szCs w:val="24"/>
        </w:rPr>
        <w:t>的样品类型，如果使用与厂商指定的样品类型不同的样品类型，建议进行验证。</w:t>
      </w:r>
      <w:r w:rsidR="0040191C">
        <w:rPr>
          <w:rFonts w:ascii="Times New Roman" w:eastAsia="宋体" w:hAnsi="Times New Roman" w:cs="Times New Roman" w:hint="eastAsia"/>
          <w:sz w:val="24"/>
          <w:szCs w:val="24"/>
        </w:rPr>
        <w:t>溶血样本、脂血样本、黄疸样本等可能均会产生干扰免疫反应及检测体系</w:t>
      </w:r>
      <w:r w:rsidR="0040191C">
        <w:rPr>
          <w:rFonts w:ascii="Times New Roman" w:eastAsia="宋体" w:hAnsi="Times New Roman" w:cs="Times New Roman"/>
          <w:b/>
          <w:bCs/>
          <w:sz w:val="24"/>
          <w:szCs w:val="24"/>
        </w:rPr>
        <w:t>。</w:t>
      </w:r>
      <w:r>
        <w:rPr>
          <w:rFonts w:ascii="Times New Roman" w:eastAsia="宋体" w:hAnsi="Times New Roman" w:cs="Times New Roman" w:hint="eastAsia"/>
          <w:sz w:val="24"/>
          <w:szCs w:val="24"/>
        </w:rPr>
        <w:t>空腹采血可减少脂血干扰；避免剧烈运动后立即采血。</w:t>
      </w:r>
      <w:r w:rsidR="0040191C">
        <w:rPr>
          <w:rFonts w:ascii="Times New Roman" w:eastAsia="宋体" w:hAnsi="Times New Roman" w:cs="Times New Roman" w:hint="eastAsia"/>
          <w:sz w:val="24"/>
          <w:szCs w:val="24"/>
        </w:rPr>
        <w:t>脂血样本，必要时可采取超速离心去脂。黄疸样本，应谨慎解释结果。</w:t>
      </w:r>
      <w:r w:rsidR="00FB54FF">
        <w:rPr>
          <w:rFonts w:ascii="Times New Roman" w:eastAsia="宋体" w:hAnsi="Times New Roman" w:cs="Times New Roman" w:hint="eastAsia"/>
          <w:sz w:val="24"/>
          <w:szCs w:val="24"/>
        </w:rPr>
        <w:t>建议拒收热灭活及严重溶血样本。</w:t>
      </w:r>
      <w:r>
        <w:rPr>
          <w:rFonts w:ascii="宋体" w:eastAsia="宋体" w:hAnsi="宋体" w:cs="宋体" w:hint="eastAsia"/>
          <w:kern w:val="0"/>
          <w:sz w:val="24"/>
          <w:szCs w:val="24"/>
          <w:lang w:bidi="ar"/>
        </w:rPr>
        <w:t>样品短期储存条件应根据样本稳定性验证结果确定，通常建议在2-</w:t>
      </w:r>
      <w:r>
        <w:rPr>
          <w:rFonts w:ascii="宋体" w:eastAsia="宋体" w:hAnsi="宋体" w:cs="宋体" w:hint="eastAsia"/>
          <w:kern w:val="0"/>
          <w:sz w:val="24"/>
          <w:szCs w:val="24"/>
          <w:lang w:bidi="ar"/>
        </w:rPr>
        <w:lastRenderedPageBreak/>
        <w:t>8℃储存，但具体期限需经本实验室验证符合要求后方可采用。</w:t>
      </w:r>
      <w:r>
        <w:rPr>
          <w:rFonts w:ascii="Times New Roman" w:eastAsia="宋体" w:hAnsi="Times New Roman" w:cs="Times New Roman" w:hint="eastAsia"/>
          <w:sz w:val="24"/>
          <w:szCs w:val="24"/>
        </w:rPr>
        <w:t>长期保存应置于</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℃或更低温度，并避免反复冻融</w:t>
      </w:r>
      <w:r>
        <w:rPr>
          <w:rFonts w:ascii="Times New Roman" w:eastAsia="宋体" w:hAnsi="Times New Roman" w:cs="Times New Roman" w:hint="eastAsia"/>
          <w:kern w:val="0"/>
          <w:sz w:val="24"/>
          <w:szCs w:val="24"/>
        </w:rPr>
        <w:fldChar w:fldCharType="begin"/>
      </w:r>
      <w:r>
        <w:rPr>
          <w:rFonts w:ascii="Times New Roman" w:eastAsia="宋体" w:hAnsi="Times New Roman" w:cs="Times New Roman" w:hint="eastAsia"/>
          <w:kern w:val="0"/>
          <w:sz w:val="24"/>
          <w:szCs w:val="24"/>
        </w:rPr>
        <w:instrText xml:space="preserve"> ADDIN NE.Ref.{90BBAF28-8950-4CA7-AE9E-22E54F60F152}</w:instrText>
      </w:r>
      <w:r>
        <w:rPr>
          <w:rFonts w:ascii="Times New Roman" w:eastAsia="宋体" w:hAnsi="Times New Roman" w:cs="Times New Roman" w:hint="eastAsia"/>
          <w:kern w:val="0"/>
          <w:sz w:val="24"/>
          <w:szCs w:val="24"/>
        </w:rPr>
        <w:fldChar w:fldCharType="separate"/>
      </w:r>
      <w:r>
        <w:rPr>
          <w:rFonts w:ascii="Times New Roman" w:eastAsia="宋体" w:hAnsi="Times New Roman" w:cs="Times New Roman" w:hint="eastAsia"/>
          <w:kern w:val="0"/>
          <w:sz w:val="24"/>
          <w:szCs w:val="24"/>
        </w:rPr>
        <w:t>[7, 8,22]</w:t>
      </w:r>
      <w:r>
        <w:rPr>
          <w:rFonts w:ascii="Times New Roman" w:eastAsia="宋体" w:hAnsi="Times New Roman" w:cs="Times New Roman" w:hint="eastAsia"/>
          <w:kern w:val="0"/>
          <w:sz w:val="24"/>
          <w:szCs w:val="24"/>
        </w:rPr>
        <w:fldChar w:fldCharType="end"/>
      </w:r>
      <w:r>
        <w:rPr>
          <w:rFonts w:ascii="Times New Roman" w:eastAsia="宋体" w:hAnsi="Times New Roman" w:cs="Times New Roman" w:hint="eastAsia"/>
          <w:sz w:val="24"/>
          <w:szCs w:val="24"/>
        </w:rPr>
        <w:t>。</w:t>
      </w:r>
    </w:p>
    <w:p w14:paraId="189ECB38" w14:textId="77777777" w:rsidR="005B791F" w:rsidRDefault="00000000" w:rsidP="0063766E">
      <w:pPr>
        <w:pStyle w:val="1"/>
        <w:rPr>
          <w:rFonts w:ascii="Times New Roman" w:eastAsia="宋体" w:hAnsi="Times New Roman" w:cs="Times New Roman"/>
          <w:b/>
          <w:bCs/>
          <w:sz w:val="24"/>
          <w:szCs w:val="24"/>
        </w:rPr>
      </w:pPr>
      <w:bookmarkStart w:id="10" w:name="_Toc210991466"/>
      <w:r>
        <w:rPr>
          <w:rFonts w:ascii="Times New Roman" w:eastAsia="宋体" w:hAnsi="Times New Roman" w:cs="Times New Roman"/>
          <w:b/>
          <w:bCs/>
          <w:sz w:val="24"/>
          <w:szCs w:val="24"/>
        </w:rPr>
        <w:t xml:space="preserve">7 </w:t>
      </w:r>
      <w:r>
        <w:rPr>
          <w:rFonts w:ascii="Times New Roman" w:eastAsia="宋体" w:hAnsi="Times New Roman" w:cs="Times New Roman"/>
          <w:b/>
          <w:bCs/>
          <w:sz w:val="24"/>
          <w:szCs w:val="24"/>
        </w:rPr>
        <w:t>检验中过程</w:t>
      </w:r>
      <w:bookmarkEnd w:id="10"/>
    </w:p>
    <w:p w14:paraId="1EE6F146" w14:textId="77777777" w:rsidR="005B791F" w:rsidRDefault="0000000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7.1 </w:t>
      </w:r>
      <w:r>
        <w:rPr>
          <w:rFonts w:ascii="Times New Roman" w:eastAsia="宋体" w:hAnsi="Times New Roman" w:cs="Times New Roman"/>
          <w:b/>
          <w:bCs/>
          <w:sz w:val="24"/>
          <w:szCs w:val="24"/>
        </w:rPr>
        <w:t>质量控制措施</w:t>
      </w:r>
    </w:p>
    <w:p w14:paraId="1CC2BA50" w14:textId="4B0BDD82" w:rsidR="005B791F" w:rsidRDefault="00000000">
      <w:pPr>
        <w:spacing w:line="360" w:lineRule="auto"/>
        <w:ind w:firstLine="420"/>
        <w:jc w:val="left"/>
        <w:rPr>
          <w:rFonts w:ascii="Times New Roman" w:eastAsia="宋体" w:hAnsi="Times New Roman" w:cs="Times New Roman"/>
          <w:sz w:val="24"/>
          <w:szCs w:val="24"/>
        </w:rPr>
      </w:pPr>
      <w:r>
        <w:rPr>
          <w:rFonts w:ascii="Times New Roman" w:eastAsia="宋体" w:hAnsi="Times New Roman" w:cs="Times New Roman"/>
          <w:b/>
          <w:bCs/>
          <w:sz w:val="24"/>
          <w:szCs w:val="24"/>
        </w:rPr>
        <w:t>7.1.1</w:t>
      </w:r>
      <w:r>
        <w:rPr>
          <w:rFonts w:ascii="Times New Roman" w:eastAsia="宋体" w:hAnsi="Times New Roman" w:cs="Times New Roman"/>
          <w:b/>
          <w:bCs/>
          <w:sz w:val="24"/>
          <w:szCs w:val="24"/>
        </w:rPr>
        <w:t>内部质量控制</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宜采用独立于试剂系统的第三方质控品，并至少包含阴性和阳性两个水平。每个检测批次均</w:t>
      </w:r>
      <w:r w:rsidR="00E43A72">
        <w:rPr>
          <w:rFonts w:ascii="Times New Roman" w:eastAsia="宋体" w:hAnsi="Times New Roman" w:cs="Times New Roman" w:hint="eastAsia"/>
          <w:sz w:val="24"/>
          <w:szCs w:val="24"/>
        </w:rPr>
        <w:t>需</w:t>
      </w:r>
      <w:r>
        <w:rPr>
          <w:rFonts w:ascii="Times New Roman" w:eastAsia="宋体" w:hAnsi="Times New Roman" w:cs="Times New Roman"/>
          <w:sz w:val="24"/>
          <w:szCs w:val="24"/>
        </w:rPr>
        <w:t>包含质控品，</w:t>
      </w:r>
      <w:r>
        <w:rPr>
          <w:rFonts w:ascii="Times New Roman" w:eastAsia="宋体" w:hAnsi="Times New Roman" w:cs="Times New Roman" w:hint="eastAsia"/>
          <w:sz w:val="24"/>
          <w:szCs w:val="24"/>
        </w:rPr>
        <w:t>自动化分析系统</w:t>
      </w:r>
      <w:r>
        <w:rPr>
          <w:rFonts w:ascii="Times New Roman" w:eastAsia="宋体" w:hAnsi="Times New Roman" w:cs="Times New Roman"/>
          <w:sz w:val="24"/>
          <w:szCs w:val="24"/>
        </w:rPr>
        <w:t>每日开机检测质控</w:t>
      </w:r>
      <w:r w:rsidR="00C20C9E">
        <w:rPr>
          <w:rFonts w:ascii="Times New Roman" w:eastAsia="宋体" w:hAnsi="Times New Roman" w:cs="Times New Roman" w:hint="eastAsia"/>
          <w:sz w:val="24"/>
          <w:szCs w:val="24"/>
        </w:rPr>
        <w:t>品</w:t>
      </w:r>
      <w:r>
        <w:rPr>
          <w:rFonts w:ascii="Times New Roman" w:eastAsia="宋体" w:hAnsi="Times New Roman" w:cs="Times New Roman"/>
          <w:sz w:val="24"/>
          <w:szCs w:val="24"/>
        </w:rPr>
        <w:t>。判定规则等参照</w:t>
      </w:r>
      <w:r>
        <w:rPr>
          <w:rFonts w:ascii="Times New Roman" w:eastAsia="宋体" w:hAnsi="Times New Roman" w:cs="Times New Roman"/>
          <w:sz w:val="24"/>
          <w:szCs w:val="24"/>
        </w:rPr>
        <w:t xml:space="preserve">WS/T 641-2018 </w:t>
      </w:r>
      <w:r>
        <w:rPr>
          <w:rFonts w:ascii="Times New Roman" w:eastAsia="宋体" w:hAnsi="Times New Roman" w:cs="Times New Roman"/>
          <w:sz w:val="24"/>
          <w:szCs w:val="24"/>
        </w:rPr>
        <w:t>临床检验定量测定室内质量控制</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23</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75724528" w14:textId="529A882B" w:rsidR="005B791F"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7.1.2</w:t>
      </w:r>
      <w:r>
        <w:rPr>
          <w:rFonts w:ascii="Times New Roman" w:eastAsia="宋体" w:hAnsi="Times New Roman" w:cs="Times New Roman"/>
          <w:b/>
          <w:bCs/>
          <w:sz w:val="24"/>
          <w:szCs w:val="24"/>
        </w:rPr>
        <w:t>外部质量评价</w:t>
      </w:r>
      <w:r>
        <w:rPr>
          <w:rFonts w:ascii="Times New Roman" w:eastAsia="宋体" w:hAnsi="Times New Roman" w:cs="Times New Roman" w:hint="eastAsia"/>
          <w:b/>
          <w:bCs/>
          <w:sz w:val="24"/>
          <w:szCs w:val="24"/>
        </w:rPr>
        <w:t xml:space="preserve"> </w:t>
      </w:r>
      <w:r>
        <w:rPr>
          <w:rFonts w:ascii="Times New Roman" w:eastAsia="宋体" w:hAnsi="Times New Roman" w:cs="Times New Roman" w:hint="eastAsia"/>
          <w:sz w:val="24"/>
          <w:szCs w:val="24"/>
        </w:rPr>
        <w:t>建议</w:t>
      </w:r>
      <w:r>
        <w:rPr>
          <w:rFonts w:ascii="Times New Roman" w:eastAsia="宋体" w:hAnsi="Times New Roman" w:cs="Times New Roman"/>
          <w:sz w:val="24"/>
          <w:szCs w:val="24"/>
        </w:rPr>
        <w:t>实验室定期参加国家卫生健康委临床检验中心或</w:t>
      </w:r>
      <w:r w:rsidR="005571EF">
        <w:rPr>
          <w:rFonts w:ascii="Times New Roman" w:eastAsia="宋体" w:hAnsi="Times New Roman" w:cs="Times New Roman" w:hint="eastAsia"/>
          <w:sz w:val="24"/>
          <w:szCs w:val="24"/>
        </w:rPr>
        <w:t>当</w:t>
      </w:r>
      <w:r w:rsidR="00315F87">
        <w:rPr>
          <w:rFonts w:ascii="Times New Roman" w:eastAsia="宋体" w:hAnsi="Times New Roman" w:cs="Times New Roman" w:hint="eastAsia"/>
          <w:sz w:val="24"/>
          <w:szCs w:val="24"/>
        </w:rPr>
        <w:t>地</w:t>
      </w:r>
      <w:r w:rsidR="00AA2E8B">
        <w:rPr>
          <w:rFonts w:ascii="Times New Roman" w:eastAsia="宋体" w:hAnsi="Times New Roman" w:cs="Times New Roman"/>
          <w:sz w:val="24"/>
          <w:szCs w:val="24"/>
        </w:rPr>
        <w:t>临床检验中心</w:t>
      </w:r>
      <w:r>
        <w:rPr>
          <w:rFonts w:ascii="Times New Roman" w:eastAsia="宋体" w:hAnsi="Times New Roman" w:cs="Times New Roman"/>
          <w:sz w:val="24"/>
          <w:szCs w:val="24"/>
        </w:rPr>
        <w:t>组织的室间质量评价计划，以持续监控和保证实验室结果与其他实验室或参考值的一致性。</w:t>
      </w:r>
    </w:p>
    <w:p w14:paraId="3BD41547" w14:textId="77777777" w:rsidR="005B791F" w:rsidRDefault="0000000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7.2 </w:t>
      </w:r>
      <w:r>
        <w:rPr>
          <w:rFonts w:ascii="Times New Roman" w:eastAsia="宋体" w:hAnsi="Times New Roman" w:cs="Times New Roman"/>
          <w:b/>
          <w:bCs/>
          <w:sz w:val="24"/>
          <w:szCs w:val="24"/>
        </w:rPr>
        <w:t>抗原、标准品及标准曲线</w:t>
      </w:r>
    </w:p>
    <w:p w14:paraId="52412779" w14:textId="77777777" w:rsidR="005B791F" w:rsidRDefault="0000000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7.2.1 </w:t>
      </w:r>
      <w:r>
        <w:rPr>
          <w:rFonts w:ascii="Times New Roman" w:eastAsia="宋体" w:hAnsi="Times New Roman" w:cs="Times New Roman"/>
          <w:b/>
          <w:bCs/>
          <w:sz w:val="24"/>
          <w:szCs w:val="24"/>
        </w:rPr>
        <w:t>抗原制备</w:t>
      </w:r>
    </w:p>
    <w:p w14:paraId="28942F44" w14:textId="3F8FCC4B" w:rsidR="005B791F" w:rsidRDefault="00000000">
      <w:pPr>
        <w:spacing w:line="360" w:lineRule="auto"/>
        <w:ind w:firstLine="420"/>
        <w:jc w:val="left"/>
        <w:rPr>
          <w:rFonts w:ascii="Times New Roman" w:eastAsia="宋体" w:hAnsi="Times New Roman" w:cs="Times New Roman"/>
          <w:sz w:val="24"/>
          <w:szCs w:val="24"/>
        </w:rPr>
      </w:pPr>
      <w:r>
        <w:rPr>
          <w:rFonts w:ascii="Times New Roman" w:eastAsia="宋体" w:hAnsi="Times New Roman" w:cs="Times New Roman"/>
          <w:sz w:val="24"/>
          <w:szCs w:val="24"/>
        </w:rPr>
        <w:t>aCL</w:t>
      </w:r>
      <w:r>
        <w:rPr>
          <w:rFonts w:ascii="Times New Roman" w:eastAsia="宋体" w:hAnsi="Times New Roman" w:cs="Times New Roman"/>
          <w:sz w:val="24"/>
          <w:szCs w:val="24"/>
        </w:rPr>
        <w:t>检测的抗原建议采用含有牛或人</w:t>
      </w:r>
      <w:r>
        <w:rPr>
          <w:rFonts w:ascii="Times New Roman" w:eastAsia="宋体" w:hAnsi="Times New Roman" w:cs="Times New Roman"/>
          <w:sz w:val="24"/>
          <w:szCs w:val="24"/>
        </w:rPr>
        <w:t>β2GP</w:t>
      </w:r>
      <w:r w:rsidR="00657121">
        <w:rPr>
          <w:rFonts w:ascii="Times New Roman" w:eastAsia="宋体" w:hAnsi="Times New Roman" w:cs="Times New Roman"/>
          <w:sz w:val="24"/>
          <w:szCs w:val="24"/>
        </w:rPr>
        <w:fldChar w:fldCharType="begin"/>
      </w:r>
      <w:r w:rsidR="00657121">
        <w:rPr>
          <w:rFonts w:ascii="Times New Roman" w:eastAsia="宋体" w:hAnsi="Times New Roman" w:cs="Times New Roman"/>
          <w:sz w:val="24"/>
          <w:szCs w:val="24"/>
        </w:rPr>
        <w:instrText xml:space="preserve"> </w:instrText>
      </w:r>
      <w:r w:rsidR="00657121">
        <w:rPr>
          <w:rFonts w:ascii="Times New Roman" w:eastAsia="宋体" w:hAnsi="Times New Roman" w:cs="Times New Roman" w:hint="eastAsia"/>
          <w:sz w:val="24"/>
          <w:szCs w:val="24"/>
        </w:rPr>
        <w:instrText>= 1 \* ROMAN</w:instrText>
      </w:r>
      <w:r w:rsidR="00657121">
        <w:rPr>
          <w:rFonts w:ascii="Times New Roman" w:eastAsia="宋体" w:hAnsi="Times New Roman" w:cs="Times New Roman"/>
          <w:sz w:val="24"/>
          <w:szCs w:val="24"/>
        </w:rPr>
        <w:instrText xml:space="preserve"> </w:instrText>
      </w:r>
      <w:r w:rsidR="00657121">
        <w:rPr>
          <w:rFonts w:ascii="Times New Roman" w:eastAsia="宋体" w:hAnsi="Times New Roman" w:cs="Times New Roman"/>
          <w:sz w:val="24"/>
          <w:szCs w:val="24"/>
        </w:rPr>
        <w:fldChar w:fldCharType="separate"/>
      </w:r>
      <w:r w:rsidR="00657121">
        <w:rPr>
          <w:rFonts w:ascii="Times New Roman" w:eastAsia="宋体" w:hAnsi="Times New Roman" w:cs="Times New Roman"/>
          <w:noProof/>
          <w:sz w:val="24"/>
          <w:szCs w:val="24"/>
        </w:rPr>
        <w:t>I</w:t>
      </w:r>
      <w:r w:rsidR="00657121">
        <w:rPr>
          <w:rFonts w:ascii="Times New Roman" w:eastAsia="宋体" w:hAnsi="Times New Roman" w:cs="Times New Roman"/>
          <w:sz w:val="24"/>
          <w:szCs w:val="24"/>
        </w:rPr>
        <w:fldChar w:fldCharType="end"/>
      </w:r>
      <w:r>
        <w:rPr>
          <w:rFonts w:ascii="Times New Roman" w:eastAsia="宋体" w:hAnsi="Times New Roman" w:cs="Times New Roman"/>
          <w:sz w:val="24"/>
          <w:szCs w:val="24"/>
        </w:rPr>
        <w:t>的心磷脂；</w:t>
      </w:r>
      <w:r>
        <w:rPr>
          <w:rFonts w:ascii="Times New Roman" w:eastAsia="宋体" w:hAnsi="Times New Roman" w:cs="Times New Roman"/>
          <w:sz w:val="24"/>
          <w:szCs w:val="24"/>
        </w:rPr>
        <w:t>aβ2GP</w:t>
      </w:r>
      <w:r w:rsidR="00657121">
        <w:rPr>
          <w:rFonts w:ascii="Times New Roman" w:eastAsia="宋体" w:hAnsi="Times New Roman" w:cs="Times New Roman"/>
          <w:sz w:val="24"/>
          <w:szCs w:val="24"/>
        </w:rPr>
        <w:fldChar w:fldCharType="begin"/>
      </w:r>
      <w:r w:rsidR="00657121">
        <w:rPr>
          <w:rFonts w:ascii="Times New Roman" w:eastAsia="宋体" w:hAnsi="Times New Roman" w:cs="Times New Roman"/>
          <w:sz w:val="24"/>
          <w:szCs w:val="24"/>
        </w:rPr>
        <w:instrText xml:space="preserve"> </w:instrText>
      </w:r>
      <w:r w:rsidR="00657121">
        <w:rPr>
          <w:rFonts w:ascii="Times New Roman" w:eastAsia="宋体" w:hAnsi="Times New Roman" w:cs="Times New Roman" w:hint="eastAsia"/>
          <w:sz w:val="24"/>
          <w:szCs w:val="24"/>
        </w:rPr>
        <w:instrText>= 1 \* ROMAN</w:instrText>
      </w:r>
      <w:r w:rsidR="00657121">
        <w:rPr>
          <w:rFonts w:ascii="Times New Roman" w:eastAsia="宋体" w:hAnsi="Times New Roman" w:cs="Times New Roman"/>
          <w:sz w:val="24"/>
          <w:szCs w:val="24"/>
        </w:rPr>
        <w:instrText xml:space="preserve"> </w:instrText>
      </w:r>
      <w:r w:rsidR="00657121">
        <w:rPr>
          <w:rFonts w:ascii="Times New Roman" w:eastAsia="宋体" w:hAnsi="Times New Roman" w:cs="Times New Roman"/>
          <w:sz w:val="24"/>
          <w:szCs w:val="24"/>
        </w:rPr>
        <w:fldChar w:fldCharType="separate"/>
      </w:r>
      <w:r w:rsidR="00657121">
        <w:rPr>
          <w:rFonts w:ascii="Times New Roman" w:eastAsia="宋体" w:hAnsi="Times New Roman" w:cs="Times New Roman"/>
          <w:noProof/>
          <w:sz w:val="24"/>
          <w:szCs w:val="24"/>
        </w:rPr>
        <w:t>I</w:t>
      </w:r>
      <w:r w:rsidR="00657121">
        <w:rPr>
          <w:rFonts w:ascii="Times New Roman" w:eastAsia="宋体" w:hAnsi="Times New Roman" w:cs="Times New Roman"/>
          <w:sz w:val="24"/>
          <w:szCs w:val="24"/>
        </w:rPr>
        <w:fldChar w:fldCharType="end"/>
      </w:r>
      <w:r>
        <w:rPr>
          <w:rFonts w:ascii="Times New Roman" w:eastAsia="宋体" w:hAnsi="Times New Roman" w:cs="Times New Roman"/>
          <w:sz w:val="24"/>
          <w:szCs w:val="24"/>
        </w:rPr>
        <w:t>检测的抗原建议采用人</w:t>
      </w:r>
      <w:r>
        <w:rPr>
          <w:rFonts w:ascii="Times New Roman" w:eastAsia="宋体" w:hAnsi="Times New Roman" w:cs="Times New Roman"/>
          <w:sz w:val="24"/>
          <w:szCs w:val="24"/>
        </w:rPr>
        <w:t>β2GP</w:t>
      </w:r>
      <w:r w:rsidR="00657121">
        <w:rPr>
          <w:rFonts w:ascii="Times New Roman" w:eastAsia="宋体" w:hAnsi="Times New Roman" w:cs="Times New Roman"/>
          <w:sz w:val="24"/>
          <w:szCs w:val="24"/>
        </w:rPr>
        <w:fldChar w:fldCharType="begin"/>
      </w:r>
      <w:r w:rsidR="00657121">
        <w:rPr>
          <w:rFonts w:ascii="Times New Roman" w:eastAsia="宋体" w:hAnsi="Times New Roman" w:cs="Times New Roman"/>
          <w:sz w:val="24"/>
          <w:szCs w:val="24"/>
        </w:rPr>
        <w:instrText xml:space="preserve"> </w:instrText>
      </w:r>
      <w:r w:rsidR="00657121">
        <w:rPr>
          <w:rFonts w:ascii="Times New Roman" w:eastAsia="宋体" w:hAnsi="Times New Roman" w:cs="Times New Roman" w:hint="eastAsia"/>
          <w:sz w:val="24"/>
          <w:szCs w:val="24"/>
        </w:rPr>
        <w:instrText>= 1 \* ROMAN</w:instrText>
      </w:r>
      <w:r w:rsidR="00657121">
        <w:rPr>
          <w:rFonts w:ascii="Times New Roman" w:eastAsia="宋体" w:hAnsi="Times New Roman" w:cs="Times New Roman"/>
          <w:sz w:val="24"/>
          <w:szCs w:val="24"/>
        </w:rPr>
        <w:instrText xml:space="preserve"> </w:instrText>
      </w:r>
      <w:r w:rsidR="00657121">
        <w:rPr>
          <w:rFonts w:ascii="Times New Roman" w:eastAsia="宋体" w:hAnsi="Times New Roman" w:cs="Times New Roman"/>
          <w:sz w:val="24"/>
          <w:szCs w:val="24"/>
        </w:rPr>
        <w:fldChar w:fldCharType="separate"/>
      </w:r>
      <w:r w:rsidR="00657121">
        <w:rPr>
          <w:rFonts w:ascii="Times New Roman" w:eastAsia="宋体" w:hAnsi="Times New Roman" w:cs="Times New Roman"/>
          <w:noProof/>
          <w:sz w:val="24"/>
          <w:szCs w:val="24"/>
        </w:rPr>
        <w:t>I</w:t>
      </w:r>
      <w:r w:rsidR="00657121">
        <w:rPr>
          <w:rFonts w:ascii="Times New Roman" w:eastAsia="宋体" w:hAnsi="Times New Roman" w:cs="Times New Roman"/>
          <w:sz w:val="24"/>
          <w:szCs w:val="24"/>
        </w:rPr>
        <w:fldChar w:fldCharType="end"/>
      </w:r>
      <w:r>
        <w:rPr>
          <w:rFonts w:ascii="Times New Roman" w:eastAsia="宋体" w:hAnsi="Times New Roman" w:cs="Times New Roman"/>
          <w:sz w:val="24"/>
          <w:szCs w:val="24"/>
        </w:rPr>
        <w:t>，固相载体表面应带负电荷</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8</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57E6032B" w14:textId="77777777" w:rsidR="005B791F" w:rsidRDefault="0000000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7.2.2 </w:t>
      </w:r>
      <w:r>
        <w:rPr>
          <w:rFonts w:ascii="Times New Roman" w:eastAsia="宋体" w:hAnsi="Times New Roman" w:cs="Times New Roman"/>
          <w:b/>
          <w:bCs/>
          <w:sz w:val="24"/>
          <w:szCs w:val="24"/>
        </w:rPr>
        <w:t>标准品及标准曲线</w:t>
      </w:r>
    </w:p>
    <w:p w14:paraId="2E145CB1" w14:textId="5E92A275" w:rsidR="005B791F" w:rsidRDefault="00000000">
      <w:pPr>
        <w:spacing w:line="360" w:lineRule="auto"/>
        <w:ind w:firstLine="420"/>
        <w:jc w:val="lef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）鼓励</w:t>
      </w:r>
      <w:r w:rsidR="00657121">
        <w:rPr>
          <w:rFonts w:ascii="Times New Roman" w:eastAsia="宋体" w:hAnsi="Times New Roman" w:cs="Times New Roman" w:hint="eastAsia"/>
          <w:sz w:val="24"/>
          <w:szCs w:val="24"/>
        </w:rPr>
        <w:t>试剂厂家</w:t>
      </w:r>
      <w:r>
        <w:rPr>
          <w:rFonts w:ascii="Times New Roman" w:eastAsia="宋体" w:hAnsi="Times New Roman" w:cs="Times New Roman"/>
          <w:sz w:val="24"/>
          <w:szCs w:val="24"/>
        </w:rPr>
        <w:t>应确保其校准品可溯源至公认的国际或国家标准品。校准品经标准品的比对和验证可用于日常检测，建议采用一组患者血清进一步确定检测体系的一致性程度。目前</w:t>
      </w:r>
      <w:r>
        <w:rPr>
          <w:rFonts w:ascii="Times New Roman" w:eastAsia="宋体" w:hAnsi="Times New Roman" w:cs="Times New Roman"/>
          <w:sz w:val="24"/>
          <w:szCs w:val="24"/>
        </w:rPr>
        <w:t>aCL</w:t>
      </w:r>
      <w:r>
        <w:rPr>
          <w:rFonts w:ascii="Times New Roman" w:eastAsia="宋体" w:hAnsi="Times New Roman" w:cs="Times New Roman"/>
          <w:sz w:val="24"/>
          <w:szCs w:val="24"/>
        </w:rPr>
        <w:t>推荐采用</w:t>
      </w:r>
      <w:r>
        <w:rPr>
          <w:rFonts w:ascii="Times New Roman" w:eastAsia="宋体" w:hAnsi="Times New Roman" w:cs="Times New Roman"/>
          <w:sz w:val="24"/>
          <w:szCs w:val="24"/>
        </w:rPr>
        <w:t>Harris</w:t>
      </w:r>
      <w:r>
        <w:rPr>
          <w:rFonts w:ascii="Times New Roman" w:eastAsia="宋体" w:hAnsi="Times New Roman" w:cs="Times New Roman"/>
          <w:sz w:val="24"/>
          <w:szCs w:val="24"/>
        </w:rPr>
        <w:t>标准品（</w:t>
      </w:r>
      <w:r>
        <w:rPr>
          <w:rFonts w:ascii="Times New Roman" w:eastAsia="宋体" w:hAnsi="Times New Roman" w:cs="Times New Roman"/>
          <w:sz w:val="24"/>
          <w:szCs w:val="24"/>
        </w:rPr>
        <w:t>IgG</w:t>
      </w:r>
      <w:r>
        <w:rPr>
          <w:rFonts w:ascii="Times New Roman" w:eastAsia="宋体" w:hAnsi="Times New Roman" w:cs="Times New Roman"/>
          <w:sz w:val="24"/>
          <w:szCs w:val="24"/>
        </w:rPr>
        <w:t>型和</w:t>
      </w:r>
      <w:r>
        <w:rPr>
          <w:rFonts w:ascii="Times New Roman" w:eastAsia="宋体" w:hAnsi="Times New Roman" w:cs="Times New Roman"/>
          <w:sz w:val="24"/>
          <w:szCs w:val="24"/>
        </w:rPr>
        <w:t>IgM</w:t>
      </w:r>
      <w:r>
        <w:rPr>
          <w:rFonts w:ascii="Times New Roman" w:eastAsia="宋体" w:hAnsi="Times New Roman" w:cs="Times New Roman"/>
          <w:sz w:val="24"/>
          <w:szCs w:val="24"/>
        </w:rPr>
        <w:t>型多克隆抗体）</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ADDIN NE.Ref.{2AE7B6FE-63A7-4108-9606-159A84B5D891}</w:instrText>
      </w:r>
      <w:r>
        <w:rPr>
          <w:rFonts w:ascii="Times New Roman" w:eastAsia="宋体" w:hAnsi="Times New Roman" w:cs="Times New Roman"/>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24</w:t>
      </w:r>
      <w:r>
        <w:rPr>
          <w:rFonts w:ascii="Times New Roman" w:eastAsia="宋体" w:hAnsi="Times New Roman" w:cs="Times New Roman"/>
          <w:kern w:val="0"/>
          <w:sz w:val="24"/>
          <w:szCs w:val="24"/>
        </w:rPr>
        <w:t>]</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w:t>
      </w:r>
      <w:r>
        <w:rPr>
          <w:rFonts w:ascii="Times New Roman" w:eastAsia="宋体" w:hAnsi="Times New Roman" w:cs="Times New Roman"/>
          <w:sz w:val="24"/>
          <w:szCs w:val="24"/>
        </w:rPr>
        <w:t>aβ2GP</w:t>
      </w:r>
      <w:r w:rsidR="00657121">
        <w:rPr>
          <w:rFonts w:ascii="Times New Roman" w:eastAsia="宋体" w:hAnsi="Times New Roman" w:cs="Times New Roman"/>
          <w:sz w:val="24"/>
          <w:szCs w:val="24"/>
        </w:rPr>
        <w:fldChar w:fldCharType="begin"/>
      </w:r>
      <w:r w:rsidR="00657121">
        <w:rPr>
          <w:rFonts w:ascii="Times New Roman" w:eastAsia="宋体" w:hAnsi="Times New Roman" w:cs="Times New Roman"/>
          <w:sz w:val="24"/>
          <w:szCs w:val="24"/>
        </w:rPr>
        <w:instrText xml:space="preserve"> </w:instrText>
      </w:r>
      <w:r w:rsidR="00657121">
        <w:rPr>
          <w:rFonts w:ascii="Times New Roman" w:eastAsia="宋体" w:hAnsi="Times New Roman" w:cs="Times New Roman" w:hint="eastAsia"/>
          <w:sz w:val="24"/>
          <w:szCs w:val="24"/>
        </w:rPr>
        <w:instrText>= 1 \* ROMAN</w:instrText>
      </w:r>
      <w:r w:rsidR="00657121">
        <w:rPr>
          <w:rFonts w:ascii="Times New Roman" w:eastAsia="宋体" w:hAnsi="Times New Roman" w:cs="Times New Roman"/>
          <w:sz w:val="24"/>
          <w:szCs w:val="24"/>
        </w:rPr>
        <w:instrText xml:space="preserve"> </w:instrText>
      </w:r>
      <w:r w:rsidR="00657121">
        <w:rPr>
          <w:rFonts w:ascii="Times New Roman" w:eastAsia="宋体" w:hAnsi="Times New Roman" w:cs="Times New Roman"/>
          <w:sz w:val="24"/>
          <w:szCs w:val="24"/>
        </w:rPr>
        <w:fldChar w:fldCharType="separate"/>
      </w:r>
      <w:r w:rsidR="00657121">
        <w:rPr>
          <w:rFonts w:ascii="Times New Roman" w:eastAsia="宋体" w:hAnsi="Times New Roman" w:cs="Times New Roman"/>
          <w:noProof/>
          <w:sz w:val="24"/>
          <w:szCs w:val="24"/>
        </w:rPr>
        <w:t>I</w:t>
      </w:r>
      <w:r w:rsidR="00657121">
        <w:rPr>
          <w:rFonts w:ascii="Times New Roman" w:eastAsia="宋体" w:hAnsi="Times New Roman" w:cs="Times New Roman"/>
          <w:sz w:val="24"/>
          <w:szCs w:val="24"/>
        </w:rPr>
        <w:fldChar w:fldCharType="end"/>
      </w:r>
      <w:r>
        <w:rPr>
          <w:rFonts w:ascii="Times New Roman" w:eastAsia="宋体" w:hAnsi="Times New Roman" w:cs="Times New Roman"/>
          <w:sz w:val="24"/>
          <w:szCs w:val="24"/>
        </w:rPr>
        <w:t>推荐采用多克隆抗体（</w:t>
      </w:r>
      <w:r>
        <w:rPr>
          <w:rFonts w:ascii="Times New Roman" w:eastAsia="宋体" w:hAnsi="Times New Roman" w:cs="Times New Roman"/>
          <w:sz w:val="24"/>
          <w:szCs w:val="24"/>
        </w:rPr>
        <w:t>IgG</w:t>
      </w:r>
      <w:r>
        <w:rPr>
          <w:rFonts w:ascii="Times New Roman" w:eastAsia="宋体" w:hAnsi="Times New Roman" w:cs="Times New Roman"/>
          <w:sz w:val="24"/>
          <w:szCs w:val="24"/>
        </w:rPr>
        <w:t>型和</w:t>
      </w:r>
      <w:r>
        <w:rPr>
          <w:rFonts w:ascii="Times New Roman" w:eastAsia="宋体" w:hAnsi="Times New Roman" w:cs="Times New Roman"/>
          <w:sz w:val="24"/>
          <w:szCs w:val="24"/>
        </w:rPr>
        <w:t>IgM</w:t>
      </w:r>
      <w:r>
        <w:rPr>
          <w:rFonts w:ascii="Times New Roman" w:eastAsia="宋体" w:hAnsi="Times New Roman" w:cs="Times New Roman"/>
          <w:sz w:val="24"/>
          <w:szCs w:val="24"/>
        </w:rPr>
        <w:t>型）或单克隆抗体</w:t>
      </w:r>
      <w:r>
        <w:rPr>
          <w:rFonts w:ascii="Times New Roman" w:eastAsia="宋体" w:hAnsi="Times New Roman" w:cs="Times New Roman"/>
          <w:sz w:val="24"/>
          <w:szCs w:val="24"/>
        </w:rPr>
        <w:t>HCAL</w:t>
      </w:r>
      <w:r>
        <w:rPr>
          <w:rFonts w:ascii="Times New Roman" w:eastAsia="宋体" w:hAnsi="Times New Roman" w:cs="Times New Roman"/>
          <w:sz w:val="24"/>
          <w:szCs w:val="24"/>
        </w:rPr>
        <w:t>（</w:t>
      </w:r>
      <w:r>
        <w:rPr>
          <w:rFonts w:ascii="Times New Roman" w:eastAsia="宋体" w:hAnsi="Times New Roman" w:cs="Times New Roman"/>
          <w:sz w:val="24"/>
          <w:szCs w:val="24"/>
        </w:rPr>
        <w:t>IgG</w:t>
      </w:r>
      <w:r>
        <w:rPr>
          <w:rFonts w:ascii="Times New Roman" w:eastAsia="宋体" w:hAnsi="Times New Roman" w:cs="Times New Roman"/>
          <w:sz w:val="24"/>
          <w:szCs w:val="24"/>
        </w:rPr>
        <w:t>型）和</w:t>
      </w:r>
      <w:r>
        <w:rPr>
          <w:rFonts w:ascii="Times New Roman" w:eastAsia="宋体" w:hAnsi="Times New Roman" w:cs="Times New Roman"/>
          <w:sz w:val="24"/>
          <w:szCs w:val="24"/>
        </w:rPr>
        <w:t>EY2C9</w:t>
      </w:r>
      <w:r>
        <w:rPr>
          <w:rFonts w:ascii="Times New Roman" w:eastAsia="宋体" w:hAnsi="Times New Roman" w:cs="Times New Roman"/>
          <w:sz w:val="24"/>
          <w:szCs w:val="24"/>
        </w:rPr>
        <w:t>（</w:t>
      </w:r>
      <w:r>
        <w:rPr>
          <w:rFonts w:ascii="Times New Roman" w:eastAsia="宋体" w:hAnsi="Times New Roman" w:cs="Times New Roman"/>
          <w:sz w:val="24"/>
          <w:szCs w:val="24"/>
        </w:rPr>
        <w:t>IgM</w:t>
      </w:r>
      <w:r>
        <w:rPr>
          <w:rFonts w:ascii="Times New Roman" w:eastAsia="宋体" w:hAnsi="Times New Roman" w:cs="Times New Roman"/>
          <w:sz w:val="24"/>
          <w:szCs w:val="24"/>
        </w:rPr>
        <w:t>型）</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ADDIN NE.Ref.{D967A6DF-8B80-45E2-9E16-8739A7EE49F1}</w:instrText>
      </w:r>
      <w:r>
        <w:rPr>
          <w:rFonts w:ascii="Times New Roman" w:eastAsia="宋体" w:hAnsi="Times New Roman" w:cs="Times New Roman"/>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25</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27</w:t>
      </w:r>
      <w:r>
        <w:rPr>
          <w:rFonts w:ascii="Times New Roman" w:eastAsia="宋体" w:hAnsi="Times New Roman" w:cs="Times New Roman"/>
          <w:kern w:val="0"/>
          <w:sz w:val="24"/>
          <w:szCs w:val="24"/>
        </w:rPr>
        <w:t>]</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w:t>
      </w:r>
    </w:p>
    <w:p w14:paraId="5E34C47F" w14:textId="77777777" w:rsidR="005B791F" w:rsidRDefault="00000000">
      <w:pPr>
        <w:spacing w:line="360" w:lineRule="auto"/>
        <w:ind w:firstLine="420"/>
        <w:jc w:val="lef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）由于免疫反应中测量物质与测量信号不成线性关系，每批检测均需</w:t>
      </w:r>
      <w:r>
        <w:rPr>
          <w:rFonts w:ascii="Times New Roman" w:eastAsia="宋体" w:hAnsi="Times New Roman" w:cs="Times New Roman" w:hint="eastAsia"/>
          <w:sz w:val="24"/>
          <w:szCs w:val="24"/>
        </w:rPr>
        <w:t>建立</w:t>
      </w:r>
      <w:r>
        <w:rPr>
          <w:rFonts w:ascii="Times New Roman" w:eastAsia="宋体" w:hAnsi="Times New Roman" w:cs="Times New Roman"/>
          <w:sz w:val="24"/>
          <w:szCs w:val="24"/>
        </w:rPr>
        <w:t>多点定标的标准曲线</w:t>
      </w:r>
      <w:r>
        <w:rPr>
          <w:rFonts w:ascii="Times New Roman" w:eastAsia="宋体" w:hAnsi="Times New Roman" w:cs="Times New Roman" w:hint="eastAsia"/>
          <w:sz w:val="24"/>
          <w:szCs w:val="24"/>
        </w:rPr>
        <w:t>。</w:t>
      </w:r>
      <w:r>
        <w:rPr>
          <w:rFonts w:ascii="Times New Roman" w:eastAsia="宋体" w:hAnsi="Times New Roman" w:cs="Times New Roman"/>
          <w:sz w:val="24"/>
          <w:szCs w:val="24"/>
        </w:rPr>
        <w:t>当校准品检测值与预期值之间的相关系数小于</w:t>
      </w:r>
      <w:r>
        <w:rPr>
          <w:rFonts w:ascii="Times New Roman" w:eastAsia="宋体" w:hAnsi="Times New Roman" w:cs="Times New Roman"/>
          <w:sz w:val="24"/>
          <w:szCs w:val="24"/>
        </w:rPr>
        <w:t>0.90</w:t>
      </w:r>
      <w:r>
        <w:rPr>
          <w:rFonts w:ascii="Times New Roman" w:eastAsia="宋体" w:hAnsi="Times New Roman" w:cs="Times New Roman"/>
          <w:sz w:val="24"/>
          <w:szCs w:val="24"/>
        </w:rPr>
        <w:t>，不能使用该标准曲线</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8</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29631FF1" w14:textId="07378CCA" w:rsidR="005B791F" w:rsidRDefault="00000000">
      <w:pPr>
        <w:spacing w:line="360" w:lineRule="auto"/>
        <w:jc w:val="left"/>
        <w:rPr>
          <w:rFonts w:ascii="Times New Roman" w:eastAsia="宋体" w:hAnsi="Times New Roman" w:cs="Times New Roman"/>
        </w:rPr>
      </w:pPr>
      <w:r>
        <w:rPr>
          <w:rFonts w:ascii="Times New Roman" w:eastAsia="宋体" w:hAnsi="Times New Roman" w:cs="Times New Roman"/>
          <w:b/>
          <w:bCs/>
          <w:sz w:val="24"/>
          <w:szCs w:val="24"/>
        </w:rPr>
        <w:t xml:space="preserve">7.3 </w:t>
      </w:r>
      <w:r w:rsidR="008F23D3">
        <w:rPr>
          <w:rFonts w:ascii="Times New Roman" w:eastAsia="宋体" w:hAnsi="Times New Roman" w:cs="Times New Roman"/>
          <w:b/>
          <w:bCs/>
          <w:sz w:val="24"/>
          <w:szCs w:val="24"/>
        </w:rPr>
        <w:t>精密度</w:t>
      </w:r>
    </w:p>
    <w:p w14:paraId="5ACD384A" w14:textId="171F860D" w:rsidR="005B791F" w:rsidRDefault="008F23D3">
      <w:pPr>
        <w:spacing w:line="360" w:lineRule="auto"/>
        <w:ind w:firstLine="42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详见</w:t>
      </w:r>
      <w:r>
        <w:rPr>
          <w:rFonts w:ascii="Times New Roman" w:eastAsia="宋体" w:hAnsi="Times New Roman" w:cs="Times New Roman" w:hint="eastAsia"/>
          <w:sz w:val="24"/>
          <w:szCs w:val="24"/>
        </w:rPr>
        <w:t>5.2.1</w:t>
      </w:r>
      <w:r>
        <w:rPr>
          <w:rFonts w:ascii="Times New Roman" w:eastAsia="宋体" w:hAnsi="Times New Roman" w:cs="Times New Roman"/>
          <w:sz w:val="24"/>
          <w:szCs w:val="24"/>
        </w:rPr>
        <w:t>。商品化试剂盒应在产品操作手册上应标明预期精密度。</w:t>
      </w:r>
      <w:r>
        <w:rPr>
          <w:rFonts w:ascii="Times New Roman" w:eastAsia="宋体" w:hAnsi="Times New Roman" w:cs="Times New Roman" w:hint="eastAsia"/>
          <w:sz w:val="24"/>
          <w:szCs w:val="24"/>
        </w:rPr>
        <w:t>建议</w:t>
      </w:r>
      <w:r>
        <w:rPr>
          <w:rFonts w:ascii="Times New Roman" w:eastAsia="宋体" w:hAnsi="Times New Roman" w:cs="Times New Roman"/>
          <w:sz w:val="24"/>
          <w:szCs w:val="24"/>
        </w:rPr>
        <w:t>实验室</w:t>
      </w:r>
      <w:r>
        <w:rPr>
          <w:rFonts w:ascii="Times New Roman" w:eastAsia="宋体" w:hAnsi="Times New Roman" w:cs="Times New Roman" w:hint="eastAsia"/>
          <w:sz w:val="24"/>
          <w:szCs w:val="24"/>
        </w:rPr>
        <w:t>可</w:t>
      </w:r>
      <w:r>
        <w:rPr>
          <w:rFonts w:ascii="Times New Roman" w:eastAsia="宋体" w:hAnsi="Times New Roman" w:cs="Times New Roman"/>
          <w:sz w:val="24"/>
          <w:szCs w:val="24"/>
        </w:rPr>
        <w:t>按</w:t>
      </w:r>
      <w:r>
        <w:rPr>
          <w:rFonts w:ascii="Times New Roman" w:eastAsia="宋体" w:hAnsi="Times New Roman" w:cs="Times New Roman"/>
          <w:sz w:val="24"/>
          <w:szCs w:val="24"/>
        </w:rPr>
        <w:t>CLSI EP15-A</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指南验证试剂盒的精密度。</w:t>
      </w:r>
      <w:r w:rsidR="00C005A8">
        <w:rPr>
          <w:rFonts w:ascii="Times New Roman" w:eastAsia="宋体" w:hAnsi="Times New Roman" w:cs="Times New Roman" w:hint="eastAsia"/>
          <w:sz w:val="24"/>
          <w:szCs w:val="24"/>
        </w:rPr>
        <w:t>建议</w:t>
      </w:r>
      <w:r>
        <w:rPr>
          <w:rFonts w:ascii="Times New Roman" w:eastAsia="宋体" w:hAnsi="Times New Roman" w:cs="Times New Roman"/>
          <w:sz w:val="24"/>
          <w:szCs w:val="24"/>
        </w:rPr>
        <w:t>采用具有与患者样品相同的基质的阴性样品确定检测下限</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12-15</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0DF563A0" w14:textId="77777777" w:rsidR="005B791F" w:rsidRDefault="0000000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7.4 </w:t>
      </w:r>
      <w:r>
        <w:rPr>
          <w:rFonts w:ascii="Times New Roman" w:eastAsia="宋体" w:hAnsi="Times New Roman" w:cs="Times New Roman"/>
          <w:b/>
          <w:bCs/>
          <w:sz w:val="24"/>
          <w:szCs w:val="24"/>
        </w:rPr>
        <w:t>单孔与复孔检测</w:t>
      </w:r>
    </w:p>
    <w:p w14:paraId="19FBA474" w14:textId="152CCB0A" w:rsidR="005B791F" w:rsidRDefault="00000000">
      <w:pPr>
        <w:spacing w:line="36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lastRenderedPageBreak/>
        <w:t>如果单孔检测能得到满意的</w:t>
      </w:r>
      <w:r w:rsidR="008F23D3">
        <w:rPr>
          <w:rFonts w:ascii="Times New Roman" w:eastAsia="宋体" w:hAnsi="Times New Roman" w:cs="Times New Roman"/>
          <w:sz w:val="24"/>
          <w:szCs w:val="24"/>
        </w:rPr>
        <w:t>精密度</w:t>
      </w:r>
      <w:r>
        <w:rPr>
          <w:rFonts w:ascii="Times New Roman" w:eastAsia="宋体" w:hAnsi="Times New Roman" w:cs="Times New Roman"/>
          <w:sz w:val="24"/>
          <w:szCs w:val="24"/>
        </w:rPr>
        <w:t>，</w:t>
      </w:r>
      <w:r>
        <w:rPr>
          <w:rFonts w:ascii="Times New Roman" w:eastAsia="宋体" w:hAnsi="Times New Roman" w:cs="Times New Roman" w:hint="eastAsia"/>
          <w:sz w:val="24"/>
          <w:szCs w:val="24"/>
        </w:rPr>
        <w:t>无需进行</w:t>
      </w:r>
      <w:r>
        <w:rPr>
          <w:rFonts w:ascii="Times New Roman" w:eastAsia="宋体" w:hAnsi="Times New Roman" w:cs="Times New Roman"/>
          <w:sz w:val="24"/>
          <w:szCs w:val="24"/>
        </w:rPr>
        <w:t>复孔检测。如单孔检测的</w:t>
      </w:r>
      <w:r w:rsidR="008F23D3">
        <w:rPr>
          <w:rFonts w:ascii="Times New Roman" w:eastAsia="宋体" w:hAnsi="Times New Roman" w:cs="Times New Roman"/>
          <w:sz w:val="24"/>
          <w:szCs w:val="24"/>
        </w:rPr>
        <w:t>精密度</w:t>
      </w:r>
      <w:r>
        <w:rPr>
          <w:rFonts w:ascii="Times New Roman" w:eastAsia="宋体" w:hAnsi="Times New Roman" w:cs="Times New Roman"/>
          <w:sz w:val="24"/>
          <w:szCs w:val="24"/>
        </w:rPr>
        <w:t>不满足要求，</w:t>
      </w:r>
      <w:r w:rsidR="00015B06">
        <w:rPr>
          <w:rFonts w:ascii="Times New Roman" w:eastAsia="宋体" w:hAnsi="Times New Roman" w:cs="Times New Roman" w:hint="eastAsia"/>
          <w:sz w:val="24"/>
          <w:szCs w:val="24"/>
        </w:rPr>
        <w:t>需要</w:t>
      </w:r>
      <w:r>
        <w:rPr>
          <w:rFonts w:ascii="Times New Roman" w:eastAsia="宋体" w:hAnsi="Times New Roman" w:cs="Times New Roman"/>
          <w:sz w:val="24"/>
          <w:szCs w:val="24"/>
        </w:rPr>
        <w:t>采用复孔检测验证</w:t>
      </w:r>
      <w:r w:rsidR="008F23D3">
        <w:rPr>
          <w:rFonts w:ascii="Times New Roman" w:eastAsia="宋体" w:hAnsi="Times New Roman" w:cs="Times New Roman"/>
          <w:sz w:val="24"/>
          <w:szCs w:val="24"/>
        </w:rPr>
        <w:t>精密度</w:t>
      </w:r>
      <w:r>
        <w:rPr>
          <w:rFonts w:ascii="Times New Roman" w:eastAsia="宋体" w:hAnsi="Times New Roman" w:cs="Times New Roman"/>
          <w:sz w:val="24"/>
          <w:szCs w:val="24"/>
        </w:rPr>
        <w:t>。除非明确复孔检测能得到比单孔检测更好的</w:t>
      </w:r>
      <w:r w:rsidR="008F23D3">
        <w:rPr>
          <w:rFonts w:ascii="Times New Roman" w:eastAsia="宋体" w:hAnsi="Times New Roman" w:cs="Times New Roman"/>
          <w:sz w:val="24"/>
          <w:szCs w:val="24"/>
        </w:rPr>
        <w:t>精密度</w:t>
      </w:r>
      <w:r>
        <w:rPr>
          <w:rFonts w:ascii="Times New Roman" w:eastAsia="宋体" w:hAnsi="Times New Roman" w:cs="Times New Roman"/>
          <w:sz w:val="24"/>
          <w:szCs w:val="24"/>
        </w:rPr>
        <w:t>，否则不鼓励在单孔检测的</w:t>
      </w:r>
      <w:r w:rsidR="008F23D3">
        <w:rPr>
          <w:rFonts w:ascii="Times New Roman" w:eastAsia="宋体" w:hAnsi="Times New Roman" w:cs="Times New Roman"/>
          <w:sz w:val="24"/>
          <w:szCs w:val="24"/>
        </w:rPr>
        <w:t>精密度</w:t>
      </w:r>
      <w:r>
        <w:rPr>
          <w:rFonts w:ascii="Times New Roman" w:eastAsia="宋体" w:hAnsi="Times New Roman" w:cs="Times New Roman"/>
          <w:sz w:val="24"/>
          <w:szCs w:val="24"/>
        </w:rPr>
        <w:t>满足要求的情况下采用复孔检测</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8</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65E0B9E0" w14:textId="77777777" w:rsidR="005B791F" w:rsidRDefault="0000000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7.5 </w:t>
      </w:r>
      <w:r>
        <w:rPr>
          <w:rFonts w:ascii="Times New Roman" w:eastAsia="宋体" w:hAnsi="Times New Roman" w:cs="Times New Roman"/>
          <w:b/>
          <w:bCs/>
          <w:sz w:val="24"/>
          <w:szCs w:val="24"/>
        </w:rPr>
        <w:t>参考范围的建立</w:t>
      </w:r>
      <w:r>
        <w:rPr>
          <w:rFonts w:ascii="Times New Roman" w:eastAsia="宋体" w:hAnsi="Times New Roman" w:cs="Times New Roman" w:hint="eastAsia"/>
          <w:b/>
          <w:bCs/>
          <w:sz w:val="24"/>
          <w:szCs w:val="24"/>
        </w:rPr>
        <w:t>与验证</w:t>
      </w:r>
    </w:p>
    <w:p w14:paraId="7947A801" w14:textId="0C170D04" w:rsidR="005B791F" w:rsidRDefault="00000000">
      <w:pPr>
        <w:spacing w:line="36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由于自身抗体水平一般不遵循正态分布，因而应采用非参数</w:t>
      </w:r>
      <w:r>
        <w:rPr>
          <w:rFonts w:ascii="Times New Roman" w:eastAsia="宋体" w:hAnsi="Times New Roman" w:cs="Times New Roman" w:hint="eastAsia"/>
          <w:sz w:val="24"/>
          <w:szCs w:val="24"/>
        </w:rPr>
        <w:t>法（如</w:t>
      </w:r>
      <w:r>
        <w:rPr>
          <w:rFonts w:ascii="Times New Roman" w:eastAsia="宋体" w:hAnsi="Times New Roman" w:cs="Times New Roman"/>
          <w:sz w:val="24"/>
          <w:szCs w:val="24"/>
        </w:rPr>
        <w:t>百分比法</w:t>
      </w:r>
      <w:r>
        <w:rPr>
          <w:rFonts w:ascii="Times New Roman" w:eastAsia="宋体" w:hAnsi="Times New Roman" w:cs="Times New Roman" w:hint="eastAsia"/>
          <w:sz w:val="24"/>
          <w:szCs w:val="24"/>
        </w:rPr>
        <w:t>）建立</w:t>
      </w:r>
      <w:r>
        <w:rPr>
          <w:rFonts w:ascii="Times New Roman" w:eastAsia="宋体" w:hAnsi="Times New Roman" w:cs="Times New Roman"/>
          <w:sz w:val="24"/>
          <w:szCs w:val="24"/>
        </w:rPr>
        <w:t>参考范围。建议</w:t>
      </w:r>
      <w:r w:rsidR="00C005A8">
        <w:rPr>
          <w:rFonts w:ascii="Times New Roman" w:eastAsia="宋体" w:hAnsi="Times New Roman" w:cs="Times New Roman" w:hint="eastAsia"/>
          <w:sz w:val="24"/>
          <w:szCs w:val="24"/>
        </w:rPr>
        <w:t>试剂厂家</w:t>
      </w:r>
      <w:r>
        <w:rPr>
          <w:rFonts w:ascii="Times New Roman" w:eastAsia="宋体" w:hAnsi="Times New Roman" w:cs="Times New Roman"/>
          <w:sz w:val="24"/>
          <w:szCs w:val="24"/>
        </w:rPr>
        <w:t>采用至少</w:t>
      </w:r>
      <w:r>
        <w:rPr>
          <w:rFonts w:ascii="Times New Roman" w:eastAsia="宋体" w:hAnsi="Times New Roman" w:cs="Times New Roman"/>
          <w:sz w:val="24"/>
          <w:szCs w:val="24"/>
        </w:rPr>
        <w:t>120</w:t>
      </w:r>
      <w:r>
        <w:rPr>
          <w:rFonts w:ascii="Times New Roman" w:eastAsia="宋体" w:hAnsi="Times New Roman" w:cs="Times New Roman"/>
          <w:sz w:val="24"/>
          <w:szCs w:val="24"/>
        </w:rPr>
        <w:t>名根据纳入标准严格筛选的受试者血清</w:t>
      </w:r>
      <w:r w:rsidR="00C005A8">
        <w:rPr>
          <w:rFonts w:ascii="Times New Roman" w:eastAsia="宋体" w:hAnsi="Times New Roman" w:cs="Times New Roman" w:hint="eastAsia"/>
          <w:sz w:val="24"/>
          <w:szCs w:val="24"/>
        </w:rPr>
        <w:t>，并</w:t>
      </w:r>
      <w:r>
        <w:rPr>
          <w:rFonts w:ascii="Times New Roman" w:eastAsia="宋体" w:hAnsi="Times New Roman" w:cs="Times New Roman"/>
          <w:sz w:val="24"/>
          <w:szCs w:val="24"/>
        </w:rPr>
        <w:t>根据</w:t>
      </w:r>
      <w:r>
        <w:rPr>
          <w:rFonts w:ascii="Times New Roman" w:eastAsia="宋体" w:hAnsi="Times New Roman" w:cs="Times New Roman"/>
          <w:sz w:val="24"/>
          <w:szCs w:val="24"/>
        </w:rPr>
        <w:t>99</w:t>
      </w:r>
      <w:r>
        <w:rPr>
          <w:rFonts w:ascii="Times New Roman" w:eastAsia="宋体" w:hAnsi="Times New Roman" w:cs="Times New Roman"/>
          <w:sz w:val="24"/>
          <w:szCs w:val="24"/>
        </w:rPr>
        <w:t>百分位来建立参考范围。临床实验室使用商业化试剂盒时</w:t>
      </w:r>
      <w:r>
        <w:rPr>
          <w:rFonts w:ascii="Times New Roman" w:eastAsia="宋体" w:hAnsi="Times New Roman" w:cs="Times New Roman" w:hint="eastAsia"/>
          <w:sz w:val="24"/>
          <w:szCs w:val="24"/>
        </w:rPr>
        <w:t>，应验证</w:t>
      </w:r>
      <w:r w:rsidR="00C005A8">
        <w:rPr>
          <w:rFonts w:ascii="Times New Roman" w:eastAsia="宋体" w:hAnsi="Times New Roman" w:cs="Times New Roman" w:hint="eastAsia"/>
          <w:sz w:val="24"/>
          <w:szCs w:val="24"/>
        </w:rPr>
        <w:t>试剂厂家</w:t>
      </w:r>
      <w:r>
        <w:rPr>
          <w:rFonts w:ascii="Times New Roman" w:eastAsia="宋体" w:hAnsi="Times New Roman" w:cs="Times New Roman"/>
          <w:sz w:val="24"/>
          <w:szCs w:val="24"/>
        </w:rPr>
        <w:t>提供的参考范围，</w:t>
      </w:r>
      <w:r>
        <w:rPr>
          <w:rFonts w:ascii="Times New Roman" w:eastAsia="宋体" w:hAnsi="Times New Roman" w:cs="Times New Roman" w:hint="eastAsia"/>
          <w:sz w:val="24"/>
          <w:szCs w:val="24"/>
        </w:rPr>
        <w:t>并回溯制造商</w:t>
      </w:r>
      <w:r>
        <w:rPr>
          <w:rFonts w:ascii="Times New Roman" w:eastAsia="宋体" w:hAnsi="Times New Roman" w:cs="Times New Roman"/>
          <w:sz w:val="24"/>
          <w:szCs w:val="24"/>
        </w:rPr>
        <w:t>建立参考范围的规则及细节、文献及</w:t>
      </w:r>
      <w:r w:rsidR="000F4398">
        <w:rPr>
          <w:rFonts w:ascii="Times New Roman" w:eastAsia="宋体" w:hAnsi="Times New Roman" w:cs="Times New Roman" w:hint="eastAsia"/>
          <w:sz w:val="24"/>
          <w:szCs w:val="24"/>
        </w:rPr>
        <w:t>受试者</w:t>
      </w:r>
      <w:r>
        <w:rPr>
          <w:rFonts w:ascii="Times New Roman" w:eastAsia="宋体" w:hAnsi="Times New Roman" w:cs="Times New Roman"/>
          <w:sz w:val="24"/>
          <w:szCs w:val="24"/>
        </w:rPr>
        <w:t>人群的统计学特征等。如果可行，临床实验室应根据</w:t>
      </w:r>
      <w:r>
        <w:rPr>
          <w:rFonts w:ascii="Times New Roman" w:eastAsia="宋体" w:hAnsi="Times New Roman" w:cs="Times New Roman"/>
          <w:sz w:val="24"/>
          <w:szCs w:val="24"/>
        </w:rPr>
        <w:t>CLSI EP28-A3C</w:t>
      </w:r>
      <w:r w:rsidR="000F4398">
        <w:rPr>
          <w:rFonts w:ascii="Times New Roman" w:eastAsia="宋体" w:hAnsi="Times New Roman" w:cs="Times New Roman" w:hint="eastAsia"/>
          <w:sz w:val="24"/>
          <w:szCs w:val="24"/>
        </w:rPr>
        <w:t>要求</w:t>
      </w:r>
      <w:r>
        <w:rPr>
          <w:rFonts w:ascii="Times New Roman" w:eastAsia="宋体" w:hAnsi="Times New Roman" w:cs="Times New Roman"/>
          <w:sz w:val="24"/>
          <w:szCs w:val="24"/>
        </w:rPr>
        <w:t>：采用至少</w:t>
      </w:r>
      <w:r>
        <w:rPr>
          <w:rFonts w:ascii="Times New Roman" w:eastAsia="宋体" w:hAnsi="Times New Roman" w:cs="Times New Roman"/>
          <w:sz w:val="24"/>
          <w:szCs w:val="24"/>
        </w:rPr>
        <w:t>20</w:t>
      </w:r>
      <w:r>
        <w:rPr>
          <w:rFonts w:ascii="Times New Roman" w:eastAsia="宋体" w:hAnsi="Times New Roman" w:cs="Times New Roman"/>
          <w:sz w:val="24"/>
          <w:szCs w:val="24"/>
        </w:rPr>
        <w:t>份健康人样本对商品化试剂盒的参考范围进行验证，若</w:t>
      </w:r>
      <w:r>
        <w:rPr>
          <w:rFonts w:ascii="Times New Roman" w:eastAsia="宋体" w:hAnsi="Times New Roman" w:cs="Times New Roman"/>
          <w:sz w:val="24"/>
          <w:szCs w:val="24"/>
        </w:rPr>
        <w:t>18</w:t>
      </w:r>
      <w:r>
        <w:rPr>
          <w:rFonts w:ascii="Times New Roman" w:eastAsia="宋体" w:hAnsi="Times New Roman" w:cs="Times New Roman"/>
          <w:sz w:val="24"/>
          <w:szCs w:val="24"/>
        </w:rPr>
        <w:t>份样本的数值在参考范围内，则可使用厂商提供的参考范围。如果临床实验室更换试剂，则可通过临床比对试验进行新旧试剂之间的参考范围的转移。建议实验室通过临床试验建立适合于本实验室的参考范围</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28,29</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4D052234" w14:textId="77777777" w:rsidR="005B791F" w:rsidRDefault="0000000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7.6</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结果</w:t>
      </w:r>
      <w:r>
        <w:rPr>
          <w:rFonts w:ascii="Times New Roman" w:eastAsia="宋体" w:hAnsi="Times New Roman" w:cs="Times New Roman" w:hint="eastAsia"/>
          <w:b/>
          <w:bCs/>
          <w:sz w:val="24"/>
          <w:szCs w:val="24"/>
        </w:rPr>
        <w:t>报告</w:t>
      </w:r>
    </w:p>
    <w:p w14:paraId="2219A981" w14:textId="26FFFA96" w:rsidR="005B791F" w:rsidRPr="0063766E" w:rsidRDefault="00000000" w:rsidP="0063766E">
      <w:pPr>
        <w:spacing w:line="360" w:lineRule="auto"/>
        <w:ind w:firstLine="420"/>
        <w:jc w:val="left"/>
        <w:rPr>
          <w:rFonts w:ascii="Times New Roman" w:eastAsia="宋体" w:hAnsi="Times New Roman" w:cs="Times New Roman"/>
          <w:sz w:val="24"/>
          <w:szCs w:val="24"/>
        </w:rPr>
      </w:pPr>
      <w:r>
        <w:rPr>
          <w:rFonts w:ascii="Times New Roman" w:eastAsia="宋体" w:hAnsi="Times New Roman" w:cs="Times New Roman"/>
          <w:sz w:val="24"/>
          <w:szCs w:val="24"/>
        </w:rPr>
        <w:t>结果应以单位或半定量范围进行报告，并标注阴性、</w:t>
      </w:r>
      <w:r>
        <w:rPr>
          <w:rFonts w:ascii="Times New Roman" w:eastAsia="宋体" w:hAnsi="Times New Roman" w:cs="Times New Roman" w:hint="eastAsia"/>
          <w:sz w:val="24"/>
          <w:szCs w:val="24"/>
        </w:rPr>
        <w:t>“</w:t>
      </w:r>
      <w:r>
        <w:rPr>
          <w:rFonts w:ascii="Times New Roman" w:eastAsia="宋体" w:hAnsi="Times New Roman" w:cs="Times New Roman"/>
          <w:sz w:val="24"/>
          <w:szCs w:val="24"/>
        </w:rPr>
        <w:t>可疑</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、中度阳性和高度阳性。检测结果高于检测线性范围的样品应稀释并重新检测或报告为</w:t>
      </w:r>
      <w:r>
        <w:rPr>
          <w:rFonts w:ascii="Times New Roman" w:eastAsia="宋体" w:hAnsi="Times New Roman" w:cs="Times New Roman" w:hint="eastAsia"/>
          <w:sz w:val="24"/>
          <w:szCs w:val="24"/>
        </w:rPr>
        <w:t>“</w:t>
      </w:r>
      <w:r>
        <w:rPr>
          <w:rFonts w:ascii="Times New Roman" w:eastAsia="宋体" w:hAnsi="Times New Roman" w:cs="Times New Roman"/>
          <w:sz w:val="24"/>
          <w:szCs w:val="24"/>
        </w:rPr>
        <w:t>高于测量范围上限值</w:t>
      </w:r>
      <w:r>
        <w:rPr>
          <w:rFonts w:ascii="Times New Roman" w:eastAsia="宋体" w:hAnsi="Times New Roman" w:cs="Times New Roman" w:hint="eastAsia"/>
          <w:sz w:val="24"/>
          <w:szCs w:val="24"/>
        </w:rPr>
        <w:t>”</w:t>
      </w:r>
      <w:r>
        <w:rPr>
          <w:rFonts w:ascii="Times New Roman" w:eastAsia="宋体" w:hAnsi="Times New Roman" w:cs="Times New Roman"/>
          <w:sz w:val="24"/>
          <w:szCs w:val="24"/>
        </w:rPr>
        <w:t>，低于检测下限的值应报告为</w:t>
      </w:r>
      <w:r>
        <w:rPr>
          <w:rFonts w:ascii="Times New Roman" w:eastAsia="宋体" w:hAnsi="Times New Roman" w:cs="Times New Roman" w:hint="eastAsia"/>
          <w:sz w:val="24"/>
          <w:szCs w:val="24"/>
        </w:rPr>
        <w:t>“</w:t>
      </w:r>
      <w:r>
        <w:rPr>
          <w:rFonts w:ascii="Times New Roman" w:eastAsia="宋体" w:hAnsi="Times New Roman" w:cs="Times New Roman"/>
          <w:sz w:val="24"/>
          <w:szCs w:val="24"/>
        </w:rPr>
        <w:t>低于检测下限</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aCL</w:t>
      </w:r>
      <w:r>
        <w:rPr>
          <w:rFonts w:ascii="Times New Roman" w:eastAsia="宋体" w:hAnsi="Times New Roman" w:cs="Times New Roman"/>
          <w:sz w:val="24"/>
          <w:szCs w:val="24"/>
        </w:rPr>
        <w:t>的检测建议采用通用的国际单位（</w:t>
      </w:r>
      <w:r>
        <w:rPr>
          <w:rFonts w:ascii="Times New Roman" w:eastAsia="宋体" w:hAnsi="Times New Roman" w:cs="Times New Roman"/>
          <w:sz w:val="24"/>
          <w:szCs w:val="24"/>
        </w:rPr>
        <w:t>GPL/MPL</w:t>
      </w:r>
      <w:r>
        <w:rPr>
          <w:rFonts w:ascii="Times New Roman" w:eastAsia="宋体" w:hAnsi="Times New Roman" w:cs="Times New Roman"/>
          <w:sz w:val="24"/>
          <w:szCs w:val="24"/>
        </w:rPr>
        <w:t>）回报结果（</w:t>
      </w:r>
      <w:r>
        <w:rPr>
          <w:rFonts w:ascii="Times New Roman" w:eastAsia="宋体" w:hAnsi="Times New Roman" w:cs="Times New Roman"/>
          <w:sz w:val="24"/>
          <w:szCs w:val="24"/>
        </w:rPr>
        <w:t>1</w:t>
      </w:r>
      <w:r>
        <w:rPr>
          <w:rFonts w:ascii="Times New Roman" w:eastAsia="宋体" w:hAnsi="Times New Roman" w:cs="Times New Roman"/>
          <w:sz w:val="24"/>
          <w:szCs w:val="24"/>
        </w:rPr>
        <w:t>个</w:t>
      </w:r>
      <w:r>
        <w:rPr>
          <w:rFonts w:ascii="Times New Roman" w:eastAsia="宋体" w:hAnsi="Times New Roman" w:cs="Times New Roman"/>
          <w:sz w:val="24"/>
          <w:szCs w:val="24"/>
        </w:rPr>
        <w:t>GPL/MPL</w:t>
      </w:r>
      <w:r>
        <w:rPr>
          <w:rFonts w:ascii="Times New Roman" w:eastAsia="宋体" w:hAnsi="Times New Roman" w:cs="Times New Roman"/>
          <w:sz w:val="24"/>
          <w:szCs w:val="24"/>
        </w:rPr>
        <w:t>单位代表</w:t>
      </w:r>
      <w:r>
        <w:rPr>
          <w:rFonts w:ascii="Times New Roman" w:eastAsia="宋体" w:hAnsi="Times New Roman" w:cs="Times New Roman"/>
          <w:sz w:val="24"/>
          <w:szCs w:val="24"/>
        </w:rPr>
        <w:t>1 μg/m</w:t>
      </w:r>
      <w:r w:rsidR="009E06C6">
        <w:rPr>
          <w:rFonts w:ascii="Times New Roman" w:eastAsia="宋体" w:hAnsi="Times New Roman" w:cs="Times New Roman" w:hint="eastAsia"/>
          <w:sz w:val="24"/>
          <w:szCs w:val="24"/>
        </w:rPr>
        <w:t>L</w:t>
      </w:r>
      <w:r>
        <w:rPr>
          <w:rFonts w:ascii="Times New Roman" w:eastAsia="宋体" w:hAnsi="Times New Roman" w:cs="Times New Roman"/>
          <w:sz w:val="24"/>
          <w:szCs w:val="24"/>
        </w:rPr>
        <w:t>亲和纯化的</w:t>
      </w:r>
      <w:r>
        <w:rPr>
          <w:rFonts w:ascii="Times New Roman" w:eastAsia="宋体" w:hAnsi="Times New Roman" w:cs="Times New Roman"/>
          <w:sz w:val="24"/>
          <w:szCs w:val="24"/>
        </w:rPr>
        <w:t>IgG</w:t>
      </w:r>
      <w:r>
        <w:rPr>
          <w:rFonts w:ascii="Times New Roman" w:eastAsia="宋体" w:hAnsi="Times New Roman" w:cs="Times New Roman"/>
          <w:sz w:val="24"/>
          <w:szCs w:val="24"/>
        </w:rPr>
        <w:t>或</w:t>
      </w:r>
      <w:r>
        <w:rPr>
          <w:rFonts w:ascii="Times New Roman" w:eastAsia="宋体" w:hAnsi="Times New Roman" w:cs="Times New Roman"/>
          <w:sz w:val="24"/>
          <w:szCs w:val="24"/>
        </w:rPr>
        <w:t>IgM aCL</w:t>
      </w:r>
      <w:r>
        <w:rPr>
          <w:rFonts w:ascii="Times New Roman" w:eastAsia="宋体" w:hAnsi="Times New Roman" w:cs="Times New Roman"/>
          <w:sz w:val="24"/>
          <w:szCs w:val="24"/>
        </w:rPr>
        <w:t>的心磷脂结合活性），并根据参考范围的百分位数确立低、中和高度阳性的范围</w:t>
      </w:r>
      <w:r>
        <w:rPr>
          <w:rFonts w:ascii="Times New Roman" w:eastAsia="宋体" w:hAnsi="Times New Roman" w:cs="Times New Roman" w:hint="eastAsia"/>
          <w:sz w:val="24"/>
          <w:szCs w:val="24"/>
        </w:rPr>
        <w:t>。对于基于</w:t>
      </w:r>
      <w:r>
        <w:rPr>
          <w:rFonts w:ascii="Times New Roman" w:eastAsia="宋体" w:hAnsi="Times New Roman" w:cs="Times New Roman" w:hint="eastAsia"/>
          <w:sz w:val="24"/>
          <w:szCs w:val="24"/>
        </w:rPr>
        <w:t>ELISA</w:t>
      </w:r>
      <w:r>
        <w:rPr>
          <w:rFonts w:ascii="Times New Roman" w:eastAsia="宋体" w:hAnsi="Times New Roman" w:cs="Times New Roman" w:hint="eastAsia"/>
          <w:sz w:val="24"/>
          <w:szCs w:val="24"/>
        </w:rPr>
        <w:t>方法的检测，可参考经典阈值</w:t>
      </w:r>
      <w:r w:rsidR="00512627">
        <w:rPr>
          <w:rFonts w:ascii="Times New Roman" w:eastAsia="宋体" w:hAnsi="Times New Roman" w:cs="Times New Roman" w:hint="eastAsia"/>
          <w:sz w:val="24"/>
          <w:szCs w:val="24"/>
        </w:rPr>
        <w:t>并</w:t>
      </w:r>
      <w:r>
        <w:rPr>
          <w:rFonts w:ascii="Times New Roman" w:eastAsia="宋体" w:hAnsi="Times New Roman" w:cs="Times New Roman" w:hint="eastAsia"/>
          <w:sz w:val="24"/>
          <w:szCs w:val="24"/>
        </w:rPr>
        <w:t>根据参考范围的百分位数确立低、中和高度阳性的范围</w:t>
      </w:r>
      <w:r>
        <w:rPr>
          <w:rFonts w:ascii="Times New Roman" w:eastAsia="宋体" w:hAnsi="Times New Roman" w:cs="Times New Roman"/>
          <w:sz w:val="24"/>
          <w:szCs w:val="24"/>
        </w:rPr>
        <w:t>：阴性为小于参考范围下限，弱阳性在</w:t>
      </w:r>
      <w:r>
        <w:rPr>
          <w:rFonts w:ascii="Times New Roman" w:eastAsia="宋体" w:hAnsi="Times New Roman" w:cs="Times New Roman" w:hint="eastAsia"/>
          <w:sz w:val="24"/>
          <w:szCs w:val="24"/>
        </w:rPr>
        <w:t>第</w:t>
      </w:r>
      <w:r>
        <w:rPr>
          <w:rFonts w:ascii="Times New Roman" w:eastAsia="宋体" w:hAnsi="Times New Roman" w:cs="Times New Roman"/>
          <w:sz w:val="24"/>
          <w:szCs w:val="24"/>
        </w:rPr>
        <w:t>95</w:t>
      </w:r>
      <w:r>
        <w:rPr>
          <w:rFonts w:ascii="Times New Roman" w:eastAsia="宋体" w:hAnsi="Times New Roman" w:cs="Times New Roman"/>
          <w:sz w:val="24"/>
          <w:szCs w:val="24"/>
        </w:rPr>
        <w:t>和</w:t>
      </w:r>
      <w:r>
        <w:rPr>
          <w:rFonts w:ascii="Times New Roman" w:eastAsia="宋体" w:hAnsi="Times New Roman" w:cs="Times New Roman"/>
          <w:sz w:val="24"/>
          <w:szCs w:val="24"/>
        </w:rPr>
        <w:t>99</w:t>
      </w:r>
      <w:r>
        <w:rPr>
          <w:rFonts w:ascii="Times New Roman" w:eastAsia="宋体" w:hAnsi="Times New Roman" w:cs="Times New Roman"/>
          <w:sz w:val="24"/>
          <w:szCs w:val="24"/>
        </w:rPr>
        <w:t>百分位数之间，中等阳性为从</w:t>
      </w:r>
      <w:r w:rsidR="005952A4">
        <w:rPr>
          <w:rFonts w:ascii="Times New Roman" w:eastAsia="宋体" w:hAnsi="Times New Roman" w:cs="Times New Roman" w:hint="eastAsia"/>
          <w:sz w:val="24"/>
          <w:szCs w:val="24"/>
        </w:rPr>
        <w:t>弱阳性</w:t>
      </w:r>
      <w:r>
        <w:rPr>
          <w:rFonts w:ascii="Times New Roman" w:eastAsia="宋体" w:hAnsi="Times New Roman" w:cs="Times New Roman"/>
          <w:sz w:val="24"/>
          <w:szCs w:val="24"/>
        </w:rPr>
        <w:t>上限到</w:t>
      </w:r>
      <w:r>
        <w:rPr>
          <w:rFonts w:ascii="Times New Roman" w:eastAsia="宋体" w:hAnsi="Times New Roman" w:cs="Times New Roman" w:hint="eastAsia"/>
          <w:sz w:val="24"/>
          <w:szCs w:val="24"/>
        </w:rPr>
        <w:t>79</w:t>
      </w:r>
      <w:r>
        <w:rPr>
          <w:rFonts w:ascii="Times New Roman" w:eastAsia="宋体" w:hAnsi="Times New Roman" w:cs="Times New Roman"/>
          <w:sz w:val="24"/>
          <w:szCs w:val="24"/>
        </w:rPr>
        <w:t xml:space="preserve"> GPL / MPL</w:t>
      </w:r>
      <w:r>
        <w:rPr>
          <w:rFonts w:ascii="Times New Roman" w:eastAsia="宋体" w:hAnsi="Times New Roman" w:cs="Times New Roman"/>
          <w:sz w:val="24"/>
          <w:szCs w:val="24"/>
        </w:rPr>
        <w:t>，强阳性为</w:t>
      </w:r>
      <w:r>
        <w:t>≥</w:t>
      </w:r>
      <w:r>
        <w:rPr>
          <w:rFonts w:ascii="Times New Roman" w:eastAsia="宋体" w:hAnsi="Times New Roman" w:cs="Times New Roman"/>
          <w:sz w:val="24"/>
          <w:szCs w:val="24"/>
        </w:rPr>
        <w:t>80 GPL / MPL</w:t>
      </w:r>
      <w:r>
        <w:rPr>
          <w:rFonts w:ascii="Times New Roman" w:eastAsia="宋体" w:hAnsi="Times New Roman" w:cs="Times New Roman"/>
          <w:sz w:val="24"/>
          <w:szCs w:val="24"/>
        </w:rPr>
        <w:t>。</w:t>
      </w:r>
      <w:r>
        <w:rPr>
          <w:rFonts w:ascii="Times New Roman" w:eastAsia="宋体" w:hAnsi="Times New Roman" w:cs="Times New Roman" w:hint="eastAsia"/>
          <w:sz w:val="24"/>
          <w:szCs w:val="24"/>
        </w:rPr>
        <w:t>对于非</w:t>
      </w:r>
      <w:r>
        <w:rPr>
          <w:rFonts w:ascii="Times New Roman" w:eastAsia="宋体" w:hAnsi="Times New Roman" w:cs="Times New Roman" w:hint="eastAsia"/>
          <w:sz w:val="24"/>
          <w:szCs w:val="24"/>
        </w:rPr>
        <w:t>ELISA</w:t>
      </w:r>
      <w:r w:rsidR="00380788">
        <w:rPr>
          <w:rFonts w:ascii="Times New Roman" w:eastAsia="宋体" w:hAnsi="Times New Roman" w:cs="Times New Roman" w:hint="eastAsia"/>
          <w:sz w:val="24"/>
          <w:szCs w:val="24"/>
        </w:rPr>
        <w:t>法</w:t>
      </w:r>
      <w:r>
        <w:rPr>
          <w:rFonts w:ascii="Times New Roman" w:eastAsia="宋体" w:hAnsi="Times New Roman" w:cs="Times New Roman" w:hint="eastAsia"/>
          <w:sz w:val="24"/>
          <w:szCs w:val="24"/>
        </w:rPr>
        <w:t>检测平台，应根据平台特性、厂家说明书并结合</w:t>
      </w:r>
      <w:r>
        <w:rPr>
          <w:rFonts w:ascii="Times New Roman" w:eastAsia="宋体" w:hAnsi="Times New Roman" w:cs="Times New Roman" w:hint="eastAsia"/>
          <w:sz w:val="24"/>
          <w:szCs w:val="24"/>
        </w:rPr>
        <w:t>ISTH-SSC</w:t>
      </w:r>
      <w:r>
        <w:rPr>
          <w:rFonts w:ascii="Times New Roman" w:eastAsia="宋体" w:hAnsi="Times New Roman" w:cs="Times New Roman" w:hint="eastAsia"/>
          <w:sz w:val="24"/>
          <w:szCs w:val="24"/>
        </w:rPr>
        <w:t>工作组的建议，建立和验证</w:t>
      </w:r>
      <w:r w:rsidR="00B27BFF">
        <w:rPr>
          <w:rFonts w:ascii="Times New Roman" w:eastAsia="宋体" w:hAnsi="Times New Roman" w:cs="Times New Roman" w:hint="eastAsia"/>
          <w:sz w:val="24"/>
          <w:szCs w:val="24"/>
        </w:rPr>
        <w:t>与</w:t>
      </w:r>
      <w:r w:rsidR="00B27BFF">
        <w:rPr>
          <w:rFonts w:ascii="Times New Roman" w:eastAsia="宋体" w:hAnsi="Times New Roman" w:cs="Times New Roman" w:hint="eastAsia"/>
          <w:sz w:val="24"/>
          <w:szCs w:val="24"/>
        </w:rPr>
        <w:t>ELISA</w:t>
      </w:r>
      <w:r w:rsidR="00B27BFF">
        <w:rPr>
          <w:rFonts w:ascii="Times New Roman" w:eastAsia="宋体" w:hAnsi="Times New Roman" w:cs="Times New Roman" w:hint="eastAsia"/>
          <w:sz w:val="24"/>
          <w:szCs w:val="24"/>
        </w:rPr>
        <w:t>结果可比</w:t>
      </w:r>
      <w:r>
        <w:rPr>
          <w:rFonts w:ascii="Times New Roman" w:eastAsia="宋体" w:hAnsi="Times New Roman" w:cs="Times New Roman" w:hint="eastAsia"/>
          <w:sz w:val="24"/>
          <w:szCs w:val="24"/>
        </w:rPr>
        <w:t>的阳性分级报告体系。</w:t>
      </w:r>
      <w:r>
        <w:rPr>
          <w:rFonts w:ascii="Times New Roman" w:eastAsia="宋体" w:hAnsi="Times New Roman" w:cs="Times New Roman"/>
          <w:sz w:val="24"/>
          <w:szCs w:val="24"/>
        </w:rPr>
        <w:t>aβ2GP</w:t>
      </w:r>
      <w:r w:rsidR="00361BD7">
        <w:rPr>
          <w:rFonts w:ascii="Times New Roman" w:eastAsia="宋体" w:hAnsi="Times New Roman" w:cs="Times New Roman"/>
          <w:sz w:val="24"/>
          <w:szCs w:val="24"/>
        </w:rPr>
        <w:fldChar w:fldCharType="begin"/>
      </w:r>
      <w:r w:rsidR="00361BD7">
        <w:rPr>
          <w:rFonts w:ascii="Times New Roman" w:eastAsia="宋体" w:hAnsi="Times New Roman" w:cs="Times New Roman"/>
          <w:sz w:val="24"/>
          <w:szCs w:val="24"/>
        </w:rPr>
        <w:instrText xml:space="preserve"> </w:instrText>
      </w:r>
      <w:r w:rsidR="00361BD7">
        <w:rPr>
          <w:rFonts w:ascii="Times New Roman" w:eastAsia="宋体" w:hAnsi="Times New Roman" w:cs="Times New Roman" w:hint="eastAsia"/>
          <w:sz w:val="24"/>
          <w:szCs w:val="24"/>
        </w:rPr>
        <w:instrText>= 1 \* ROMAN</w:instrText>
      </w:r>
      <w:r w:rsidR="00361BD7">
        <w:rPr>
          <w:rFonts w:ascii="Times New Roman" w:eastAsia="宋体" w:hAnsi="Times New Roman" w:cs="Times New Roman"/>
          <w:sz w:val="24"/>
          <w:szCs w:val="24"/>
        </w:rPr>
        <w:instrText xml:space="preserve"> </w:instrText>
      </w:r>
      <w:r w:rsidR="00361BD7">
        <w:rPr>
          <w:rFonts w:ascii="Times New Roman" w:eastAsia="宋体" w:hAnsi="Times New Roman" w:cs="Times New Roman"/>
          <w:sz w:val="24"/>
          <w:szCs w:val="24"/>
        </w:rPr>
        <w:fldChar w:fldCharType="separate"/>
      </w:r>
      <w:r w:rsidR="00361BD7">
        <w:rPr>
          <w:rFonts w:ascii="Times New Roman" w:eastAsia="宋体" w:hAnsi="Times New Roman" w:cs="Times New Roman"/>
          <w:noProof/>
          <w:sz w:val="24"/>
          <w:szCs w:val="24"/>
        </w:rPr>
        <w:t>I</w:t>
      </w:r>
      <w:r w:rsidR="00361BD7">
        <w:rPr>
          <w:rFonts w:ascii="Times New Roman" w:eastAsia="宋体" w:hAnsi="Times New Roman" w:cs="Times New Roman"/>
          <w:sz w:val="24"/>
          <w:szCs w:val="24"/>
        </w:rPr>
        <w:fldChar w:fldCharType="end"/>
      </w:r>
      <w:r>
        <w:rPr>
          <w:rFonts w:ascii="Times New Roman" w:eastAsia="宋体" w:hAnsi="Times New Roman" w:cs="Times New Roman"/>
          <w:sz w:val="24"/>
          <w:szCs w:val="24"/>
        </w:rPr>
        <w:t>暂无通用的测定单位，依据检测的标准品回报结果</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8,10,11</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4D888EC2" w14:textId="77777777" w:rsidR="005B791F" w:rsidRDefault="00000000" w:rsidP="0063766E">
      <w:pPr>
        <w:pStyle w:val="1"/>
        <w:rPr>
          <w:rFonts w:ascii="Times New Roman" w:eastAsia="宋体" w:hAnsi="Times New Roman" w:cs="Times New Roman"/>
          <w:b/>
          <w:bCs/>
          <w:sz w:val="24"/>
          <w:szCs w:val="24"/>
        </w:rPr>
      </w:pPr>
      <w:bookmarkStart w:id="11" w:name="_Toc210991467"/>
      <w:r>
        <w:rPr>
          <w:rFonts w:ascii="Times New Roman" w:eastAsia="宋体" w:hAnsi="Times New Roman" w:cs="Times New Roman"/>
          <w:b/>
          <w:bCs/>
          <w:sz w:val="24"/>
          <w:szCs w:val="24"/>
        </w:rPr>
        <w:lastRenderedPageBreak/>
        <w:t xml:space="preserve">8 </w:t>
      </w:r>
      <w:r>
        <w:rPr>
          <w:rFonts w:ascii="Times New Roman" w:eastAsia="宋体" w:hAnsi="Times New Roman" w:cs="Times New Roman"/>
          <w:b/>
          <w:bCs/>
          <w:sz w:val="24"/>
          <w:szCs w:val="24"/>
        </w:rPr>
        <w:t>检验后过程</w:t>
      </w:r>
      <w:bookmarkEnd w:id="11"/>
    </w:p>
    <w:p w14:paraId="0AD97A9A" w14:textId="77777777" w:rsidR="005B791F" w:rsidRDefault="0000000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8.1</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结果解释</w:t>
      </w:r>
    </w:p>
    <w:p w14:paraId="54411C6B" w14:textId="4DC2F443" w:rsidR="005B791F" w:rsidRDefault="00BF2819" w:rsidP="003B4508">
      <w:pPr>
        <w:spacing w:line="360" w:lineRule="auto"/>
        <w:ind w:firstLine="383"/>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试剂厂家</w:t>
      </w:r>
      <w:r>
        <w:rPr>
          <w:rFonts w:ascii="Times New Roman" w:eastAsia="宋体" w:hAnsi="Times New Roman" w:cs="Times New Roman"/>
          <w:sz w:val="24"/>
          <w:szCs w:val="24"/>
        </w:rPr>
        <w:t>应公开临床研究的数据及信息以</w:t>
      </w:r>
      <w:r>
        <w:rPr>
          <w:rFonts w:ascii="Times New Roman" w:eastAsia="宋体" w:hAnsi="Times New Roman" w:cs="Times New Roman" w:hint="eastAsia"/>
          <w:sz w:val="24"/>
          <w:szCs w:val="24"/>
        </w:rPr>
        <w:t>支持</w:t>
      </w:r>
      <w:r>
        <w:rPr>
          <w:rFonts w:ascii="Times New Roman" w:eastAsia="宋体" w:hAnsi="Times New Roman" w:cs="Times New Roman"/>
          <w:sz w:val="24"/>
          <w:szCs w:val="24"/>
        </w:rPr>
        <w:t>结果的解释。临床实验室解释结果时</w:t>
      </w:r>
      <w:r>
        <w:rPr>
          <w:rFonts w:ascii="Times New Roman" w:eastAsia="宋体" w:hAnsi="Times New Roman" w:cs="Times New Roman" w:hint="eastAsia"/>
          <w:sz w:val="24"/>
          <w:szCs w:val="24"/>
        </w:rPr>
        <w:t>，</w:t>
      </w:r>
      <w:r>
        <w:rPr>
          <w:rFonts w:ascii="Times New Roman" w:eastAsia="宋体" w:hAnsi="Times New Roman" w:cs="Times New Roman"/>
          <w:sz w:val="24"/>
          <w:szCs w:val="24"/>
        </w:rPr>
        <w:t>应充分了解</w:t>
      </w:r>
      <w:r>
        <w:rPr>
          <w:rFonts w:ascii="Times New Roman" w:eastAsia="宋体" w:hAnsi="Times New Roman" w:cs="Times New Roman" w:hint="eastAsia"/>
          <w:sz w:val="24"/>
          <w:szCs w:val="24"/>
        </w:rPr>
        <w:t>所用检测</w:t>
      </w:r>
      <w:r>
        <w:rPr>
          <w:rFonts w:ascii="Times New Roman" w:eastAsia="宋体" w:hAnsi="Times New Roman" w:cs="Times New Roman"/>
          <w:sz w:val="24"/>
          <w:szCs w:val="24"/>
        </w:rPr>
        <w:t>方法的性能及局限性</w:t>
      </w:r>
      <w:r>
        <w:rPr>
          <w:rFonts w:ascii="Times New Roman" w:eastAsia="宋体" w:hAnsi="Times New Roman" w:cs="Times New Roman" w:hint="eastAsia"/>
          <w:sz w:val="24"/>
          <w:szCs w:val="24"/>
        </w:rPr>
        <w:t>。</w:t>
      </w:r>
      <w:r>
        <w:rPr>
          <w:rFonts w:ascii="Times New Roman" w:eastAsia="宋体" w:hAnsi="Times New Roman" w:cs="Times New Roman"/>
          <w:sz w:val="24"/>
          <w:szCs w:val="24"/>
        </w:rPr>
        <w:t>对于临界值附近的结果，应结合该检测方法的测量不确定度或精密度数据进行解释。</w:t>
      </w:r>
      <w:r>
        <w:rPr>
          <w:rFonts w:ascii="Times New Roman" w:eastAsia="宋体" w:hAnsi="Times New Roman" w:cs="Times New Roman"/>
          <w:sz w:val="24"/>
          <w:szCs w:val="24"/>
        </w:rPr>
        <w:t>aCL</w:t>
      </w:r>
      <w:r>
        <w:rPr>
          <w:rFonts w:ascii="Times New Roman" w:eastAsia="宋体" w:hAnsi="Times New Roman" w:cs="Times New Roman"/>
          <w:sz w:val="24"/>
          <w:szCs w:val="24"/>
        </w:rPr>
        <w:t>和</w:t>
      </w:r>
      <w:r>
        <w:rPr>
          <w:rFonts w:ascii="Times New Roman" w:eastAsia="宋体" w:hAnsi="Times New Roman" w:cs="Times New Roman"/>
          <w:sz w:val="24"/>
          <w:szCs w:val="24"/>
        </w:rPr>
        <w:t>aβ2GP</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ROMAN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I</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检测结果需结合临床表现</w:t>
      </w:r>
      <w:r>
        <w:rPr>
          <w:rFonts w:ascii="Times New Roman" w:eastAsia="宋体" w:hAnsi="Times New Roman" w:cs="Times New Roman" w:hint="eastAsia"/>
          <w:sz w:val="24"/>
          <w:szCs w:val="24"/>
        </w:rPr>
        <w:t>及</w:t>
      </w:r>
      <w:r>
        <w:rPr>
          <w:rFonts w:ascii="Times New Roman" w:eastAsia="宋体" w:hAnsi="Times New Roman" w:cs="Times New Roman"/>
          <w:sz w:val="24"/>
          <w:szCs w:val="24"/>
        </w:rPr>
        <w:t>LA</w:t>
      </w:r>
      <w:r>
        <w:rPr>
          <w:rFonts w:ascii="Times New Roman" w:eastAsia="宋体" w:hAnsi="Times New Roman" w:cs="Times New Roman"/>
          <w:sz w:val="24"/>
          <w:szCs w:val="24"/>
        </w:rPr>
        <w:t>结果</w:t>
      </w:r>
      <w:r>
        <w:rPr>
          <w:rFonts w:ascii="Times New Roman" w:eastAsia="宋体" w:hAnsi="Times New Roman" w:cs="Times New Roman" w:hint="eastAsia"/>
          <w:sz w:val="24"/>
          <w:szCs w:val="24"/>
        </w:rPr>
        <w:t>进行综合判读</w:t>
      </w:r>
      <w:r>
        <w:rPr>
          <w:rFonts w:ascii="Times New Roman" w:eastAsia="宋体" w:hAnsi="Times New Roman" w:cs="Times New Roman"/>
          <w:sz w:val="24"/>
          <w:szCs w:val="24"/>
        </w:rPr>
        <w:t>。间隔</w:t>
      </w:r>
      <w:r>
        <w:rPr>
          <w:rFonts w:ascii="Times New Roman" w:eastAsia="宋体" w:hAnsi="Times New Roman" w:cs="Times New Roman"/>
          <w:sz w:val="24"/>
          <w:szCs w:val="24"/>
        </w:rPr>
        <w:t>12</w:t>
      </w:r>
      <w:r>
        <w:rPr>
          <w:rFonts w:ascii="Times New Roman" w:eastAsia="宋体" w:hAnsi="Times New Roman" w:cs="Times New Roman"/>
          <w:sz w:val="24"/>
          <w:szCs w:val="24"/>
        </w:rPr>
        <w:t>周的持续阳性结果</w:t>
      </w:r>
      <w:r>
        <w:rPr>
          <w:rFonts w:ascii="Times New Roman" w:eastAsia="宋体" w:hAnsi="Times New Roman" w:cs="Times New Roman" w:hint="eastAsia"/>
          <w:sz w:val="24"/>
          <w:szCs w:val="24"/>
        </w:rPr>
        <w:t>方</w:t>
      </w:r>
      <w:r>
        <w:rPr>
          <w:rFonts w:ascii="Times New Roman" w:eastAsia="宋体" w:hAnsi="Times New Roman" w:cs="Times New Roman"/>
          <w:sz w:val="24"/>
          <w:szCs w:val="24"/>
        </w:rPr>
        <w:t>具有</w:t>
      </w:r>
      <w:r>
        <w:rPr>
          <w:rFonts w:ascii="Times New Roman" w:eastAsia="宋体" w:hAnsi="Times New Roman" w:cs="Times New Roman" w:hint="eastAsia"/>
          <w:sz w:val="24"/>
          <w:szCs w:val="24"/>
        </w:rPr>
        <w:t>临床诊断意义</w:t>
      </w:r>
      <w:r>
        <w:rPr>
          <w:rFonts w:ascii="Times New Roman" w:eastAsia="宋体" w:hAnsi="Times New Roman" w:cs="Times New Roman"/>
          <w:sz w:val="24"/>
          <w:szCs w:val="24"/>
        </w:rPr>
        <w:t>。同时检测</w:t>
      </w:r>
      <w:r>
        <w:rPr>
          <w:rFonts w:ascii="Times New Roman" w:eastAsia="宋体" w:hAnsi="Times New Roman" w:cs="Times New Roman"/>
          <w:sz w:val="24"/>
          <w:szCs w:val="24"/>
        </w:rPr>
        <w:t>LA</w:t>
      </w:r>
      <w:r w:rsidR="00962E2D">
        <w:rPr>
          <w:rFonts w:ascii="Times New Roman" w:eastAsia="宋体" w:hAnsi="Times New Roman" w:cs="Times New Roman" w:hint="eastAsia"/>
          <w:sz w:val="24"/>
          <w:szCs w:val="24"/>
        </w:rPr>
        <w:t>、</w:t>
      </w:r>
      <w:r>
        <w:rPr>
          <w:rFonts w:ascii="Times New Roman" w:eastAsia="宋体" w:hAnsi="Times New Roman" w:cs="Times New Roman"/>
          <w:sz w:val="24"/>
          <w:szCs w:val="24"/>
        </w:rPr>
        <w:t>aCL</w:t>
      </w:r>
      <w:r>
        <w:rPr>
          <w:rFonts w:ascii="Times New Roman" w:eastAsia="宋体" w:hAnsi="Times New Roman" w:cs="Times New Roman"/>
          <w:sz w:val="24"/>
          <w:szCs w:val="24"/>
        </w:rPr>
        <w:t>和</w:t>
      </w:r>
      <w:r>
        <w:rPr>
          <w:rFonts w:ascii="Times New Roman" w:eastAsia="宋体" w:hAnsi="Times New Roman" w:cs="Times New Roman"/>
          <w:sz w:val="24"/>
          <w:szCs w:val="24"/>
        </w:rPr>
        <w:t>aβ2GP</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ROMAN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I</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可以提高</w:t>
      </w:r>
      <w:r>
        <w:rPr>
          <w:rFonts w:ascii="Times New Roman" w:eastAsia="宋体" w:hAnsi="Times New Roman" w:cs="Times New Roman" w:hint="eastAsia"/>
          <w:sz w:val="24"/>
          <w:szCs w:val="24"/>
        </w:rPr>
        <w:t>APS</w:t>
      </w:r>
      <w:r>
        <w:rPr>
          <w:rFonts w:ascii="Times New Roman" w:eastAsia="宋体" w:hAnsi="Times New Roman" w:cs="Times New Roman"/>
          <w:sz w:val="24"/>
          <w:szCs w:val="24"/>
        </w:rPr>
        <w:t>诊断效率</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1, 7</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8,9</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60EC10BB" w14:textId="77777777" w:rsidR="005B791F" w:rsidRDefault="00000000">
      <w:pPr>
        <w:pStyle w:val="af"/>
        <w:numPr>
          <w:ilvl w:val="1"/>
          <w:numId w:val="2"/>
        </w:num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报告解读建议</w:t>
      </w:r>
    </w:p>
    <w:p w14:paraId="5B4ACA4C" w14:textId="77777777" w:rsidR="005B791F" w:rsidRDefault="00000000">
      <w:pPr>
        <w:spacing w:after="160" w:line="360" w:lineRule="auto"/>
        <w:ind w:firstLine="383"/>
        <w:jc w:val="left"/>
        <w:rPr>
          <w:rFonts w:ascii="Times New Roman" w:eastAsia="宋体" w:hAnsi="Times New Roman" w:cs="Times New Roman"/>
          <w:sz w:val="24"/>
          <w:szCs w:val="24"/>
        </w:rPr>
      </w:pPr>
      <w:r>
        <w:rPr>
          <w:rFonts w:ascii="Times New Roman" w:eastAsia="宋体" w:hAnsi="Times New Roman" w:cs="Times New Roman"/>
          <w:sz w:val="24"/>
          <w:szCs w:val="24"/>
        </w:rPr>
        <w:t>建议报告</w:t>
      </w:r>
      <w:r>
        <w:rPr>
          <w:rFonts w:ascii="Times New Roman" w:eastAsia="宋体" w:hAnsi="Times New Roman" w:cs="Times New Roman" w:hint="eastAsia"/>
          <w:sz w:val="24"/>
          <w:szCs w:val="24"/>
        </w:rPr>
        <w:t>内容</w:t>
      </w:r>
      <w:r>
        <w:rPr>
          <w:rFonts w:ascii="Times New Roman" w:eastAsia="宋体" w:hAnsi="Times New Roman" w:cs="Times New Roman"/>
          <w:sz w:val="24"/>
          <w:szCs w:val="24"/>
        </w:rPr>
        <w:t>应规范化，建议报告各个抗体的类别（</w:t>
      </w:r>
      <w:r>
        <w:rPr>
          <w:rFonts w:ascii="Times New Roman" w:eastAsia="宋体" w:hAnsi="Times New Roman" w:cs="Times New Roman"/>
          <w:sz w:val="24"/>
          <w:szCs w:val="24"/>
        </w:rPr>
        <w:t>IgG</w:t>
      </w:r>
      <w:r>
        <w:rPr>
          <w:rFonts w:ascii="Times New Roman" w:eastAsia="宋体" w:hAnsi="Times New Roman" w:cs="Times New Roman"/>
          <w:sz w:val="24"/>
          <w:szCs w:val="24"/>
        </w:rPr>
        <w:t>、</w:t>
      </w:r>
      <w:r>
        <w:rPr>
          <w:rFonts w:ascii="Times New Roman" w:eastAsia="宋体" w:hAnsi="Times New Roman" w:cs="Times New Roman"/>
          <w:sz w:val="24"/>
          <w:szCs w:val="24"/>
        </w:rPr>
        <w:t>IgM</w:t>
      </w:r>
      <w:r>
        <w:rPr>
          <w:rFonts w:ascii="Times New Roman" w:eastAsia="宋体" w:hAnsi="Times New Roman" w:cs="Times New Roman"/>
          <w:sz w:val="24"/>
          <w:szCs w:val="24"/>
        </w:rPr>
        <w:t>）、检测方法、数值结果、单位和参考范围，并备注中高滴度浓度范围</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8,10,11</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5F3FA2D2" w14:textId="77777777" w:rsidR="005B791F" w:rsidRDefault="00000000" w:rsidP="0063766E">
      <w:pPr>
        <w:pStyle w:val="1"/>
        <w:rPr>
          <w:rFonts w:ascii="Times New Roman" w:eastAsia="宋体" w:hAnsi="Times New Roman" w:cs="Times New Roman"/>
          <w:b/>
          <w:bCs/>
          <w:sz w:val="24"/>
          <w:szCs w:val="24"/>
        </w:rPr>
      </w:pPr>
      <w:bookmarkStart w:id="12" w:name="_Toc210991468"/>
      <w:r>
        <w:rPr>
          <w:rFonts w:ascii="Times New Roman" w:eastAsia="宋体" w:hAnsi="Times New Roman" w:cs="Times New Roman"/>
          <w:b/>
          <w:bCs/>
          <w:sz w:val="24"/>
          <w:szCs w:val="24"/>
        </w:rPr>
        <w:t>9.</w:t>
      </w:r>
      <w:r>
        <w:rPr>
          <w:rFonts w:ascii="Times New Roman" w:eastAsia="宋体" w:hAnsi="Times New Roman" w:cs="Times New Roman" w:hint="eastAsia"/>
          <w:b/>
          <w:bCs/>
          <w:sz w:val="24"/>
          <w:szCs w:val="24"/>
        </w:rPr>
        <w:t xml:space="preserve"> </w:t>
      </w:r>
      <w:r>
        <w:rPr>
          <w:rFonts w:ascii="Times New Roman" w:eastAsia="宋体" w:hAnsi="Times New Roman" w:cs="Times New Roman" w:hint="eastAsia"/>
          <w:b/>
          <w:bCs/>
          <w:sz w:val="24"/>
          <w:szCs w:val="24"/>
        </w:rPr>
        <w:t>结语与</w:t>
      </w:r>
      <w:r>
        <w:rPr>
          <w:rFonts w:ascii="Times New Roman" w:eastAsia="宋体" w:hAnsi="Times New Roman" w:cs="Times New Roman"/>
          <w:b/>
          <w:bCs/>
          <w:sz w:val="24"/>
          <w:szCs w:val="24"/>
        </w:rPr>
        <w:t>展望</w:t>
      </w:r>
      <w:bookmarkEnd w:id="12"/>
    </w:p>
    <w:p w14:paraId="27562AA2" w14:textId="77777777" w:rsidR="005B791F" w:rsidRDefault="00000000">
      <w:pPr>
        <w:spacing w:line="360" w:lineRule="auto"/>
        <w:ind w:firstLine="420"/>
        <w:jc w:val="left"/>
        <w:rPr>
          <w:rFonts w:ascii="Times New Roman" w:eastAsia="宋体" w:hAnsi="Times New Roman" w:cs="Times New Roman"/>
          <w:sz w:val="24"/>
          <w:szCs w:val="24"/>
        </w:rPr>
      </w:pPr>
      <w:r>
        <w:rPr>
          <w:rFonts w:ascii="Times New Roman" w:eastAsia="宋体" w:hAnsi="Times New Roman" w:cs="Times New Roman"/>
          <w:sz w:val="24"/>
          <w:szCs w:val="24"/>
        </w:rPr>
        <w:t>aPL</w:t>
      </w:r>
      <w:r>
        <w:rPr>
          <w:rFonts w:ascii="Times New Roman" w:eastAsia="宋体" w:hAnsi="Times New Roman" w:cs="Times New Roman"/>
          <w:sz w:val="24"/>
          <w:szCs w:val="24"/>
        </w:rPr>
        <w:t>检测及临床应用</w:t>
      </w:r>
      <w:r>
        <w:rPr>
          <w:rFonts w:ascii="Times New Roman" w:eastAsia="宋体" w:hAnsi="Times New Roman" w:cs="Times New Roman" w:hint="eastAsia"/>
          <w:sz w:val="24"/>
          <w:szCs w:val="24"/>
        </w:rPr>
        <w:t>的未来发展方向包括</w:t>
      </w:r>
      <w:r>
        <w:rPr>
          <w:rFonts w:ascii="Times New Roman" w:eastAsia="宋体" w:hAnsi="Times New Roman" w:cs="Times New Roman"/>
          <w:sz w:val="24"/>
          <w:szCs w:val="24"/>
        </w:rPr>
        <w:t>：一是</w:t>
      </w:r>
      <w:r>
        <w:rPr>
          <w:rFonts w:ascii="Times New Roman" w:eastAsia="宋体" w:hAnsi="Times New Roman" w:cs="Times New Roman" w:hint="eastAsia"/>
          <w:sz w:val="24"/>
          <w:szCs w:val="24"/>
        </w:rPr>
        <w:t>开展严谨</w:t>
      </w:r>
      <w:r>
        <w:rPr>
          <w:rFonts w:ascii="Times New Roman" w:eastAsia="宋体" w:hAnsi="Times New Roman" w:cs="Times New Roman"/>
          <w:sz w:val="24"/>
          <w:szCs w:val="24"/>
        </w:rPr>
        <w:t>设计的观察性研究和同质患者群体的随机对照试验；二是</w:t>
      </w:r>
      <w:r>
        <w:rPr>
          <w:rFonts w:ascii="Times New Roman" w:eastAsia="宋体" w:hAnsi="Times New Roman" w:cs="Times New Roman" w:hint="eastAsia"/>
          <w:sz w:val="24"/>
          <w:szCs w:val="24"/>
        </w:rPr>
        <w:t>持续</w:t>
      </w:r>
      <w:r>
        <w:rPr>
          <w:rFonts w:ascii="Times New Roman" w:eastAsia="宋体" w:hAnsi="Times New Roman" w:cs="Times New Roman"/>
          <w:sz w:val="24"/>
          <w:szCs w:val="24"/>
        </w:rPr>
        <w:t>推进</w:t>
      </w:r>
      <w:r>
        <w:rPr>
          <w:rFonts w:ascii="Times New Roman" w:eastAsia="宋体" w:hAnsi="Times New Roman" w:cs="Times New Roman"/>
          <w:sz w:val="24"/>
          <w:szCs w:val="24"/>
        </w:rPr>
        <w:t>aPL</w:t>
      </w:r>
      <w:r>
        <w:rPr>
          <w:rFonts w:ascii="Times New Roman" w:eastAsia="宋体" w:hAnsi="Times New Roman" w:cs="Times New Roman"/>
          <w:sz w:val="24"/>
          <w:szCs w:val="24"/>
        </w:rPr>
        <w:t>检测的标准化，包括建立国际通用单位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制备及</w:t>
      </w:r>
      <w:r>
        <w:rPr>
          <w:rFonts w:ascii="Times New Roman" w:eastAsia="宋体" w:hAnsi="Times New Roman" w:cs="Times New Roman" w:hint="eastAsia"/>
          <w:sz w:val="24"/>
          <w:szCs w:val="24"/>
        </w:rPr>
        <w:t>推广</w:t>
      </w:r>
      <w:r>
        <w:rPr>
          <w:rFonts w:ascii="Times New Roman" w:eastAsia="宋体" w:hAnsi="Times New Roman" w:cs="Times New Roman"/>
          <w:sz w:val="24"/>
          <w:szCs w:val="24"/>
        </w:rPr>
        <w:t>aPL</w:t>
      </w:r>
      <w:r>
        <w:rPr>
          <w:rFonts w:ascii="Times New Roman" w:eastAsia="宋体" w:hAnsi="Times New Roman" w:cs="Times New Roman"/>
          <w:sz w:val="24"/>
          <w:szCs w:val="24"/>
        </w:rPr>
        <w:t>的标准物质以提</w:t>
      </w:r>
      <w:r>
        <w:rPr>
          <w:rFonts w:ascii="Times New Roman" w:eastAsia="宋体" w:hAnsi="Times New Roman" w:cs="Times New Roman" w:hint="eastAsia"/>
          <w:sz w:val="24"/>
          <w:szCs w:val="24"/>
        </w:rPr>
        <w:t>升</w:t>
      </w:r>
      <w:r>
        <w:rPr>
          <w:rFonts w:ascii="Times New Roman" w:eastAsia="宋体" w:hAnsi="Times New Roman" w:cs="Times New Roman"/>
          <w:sz w:val="24"/>
          <w:szCs w:val="24"/>
        </w:rPr>
        <w:t>aPL</w:t>
      </w:r>
      <w:r>
        <w:rPr>
          <w:rFonts w:ascii="Times New Roman" w:eastAsia="宋体" w:hAnsi="Times New Roman" w:cs="Times New Roman"/>
          <w:sz w:val="24"/>
          <w:szCs w:val="24"/>
        </w:rPr>
        <w:t>检测质量</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ADDIN NE.Ref.{90BBAF28-8950-4CA7-AE9E-22E54F60F152}</w:instrText>
      </w:r>
      <w:r>
        <w:rPr>
          <w:rFonts w:ascii="Times New Roman" w:eastAsia="宋体" w:hAnsi="Times New Roman" w:cs="Times New Roman"/>
          <w:kern w:val="0"/>
          <w:sz w:val="24"/>
          <w:szCs w:val="24"/>
        </w:rPr>
        <w:fldChar w:fldCharType="separate"/>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10,11,30,31</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fldChar w:fldCharType="end"/>
      </w:r>
      <w:r>
        <w:rPr>
          <w:rFonts w:ascii="Times New Roman" w:eastAsia="宋体" w:hAnsi="Times New Roman" w:cs="Times New Roman"/>
          <w:sz w:val="24"/>
          <w:szCs w:val="24"/>
        </w:rPr>
        <w:t>。</w:t>
      </w:r>
    </w:p>
    <w:p w14:paraId="4B3049F8" w14:textId="0DBF32CE" w:rsidR="005B791F" w:rsidRDefault="00000000" w:rsidP="0063766E">
      <w:pPr>
        <w:spacing w:line="360" w:lineRule="auto"/>
        <w:ind w:firstLine="420"/>
        <w:jc w:val="left"/>
        <w:rPr>
          <w:rFonts w:ascii="Times New Roman" w:eastAsia="宋体" w:hAnsi="Times New Roman" w:cs="Times New Roman"/>
          <w:sz w:val="24"/>
          <w:szCs w:val="24"/>
        </w:rPr>
      </w:pPr>
      <w:r>
        <w:rPr>
          <w:rFonts w:ascii="Times New Roman" w:eastAsia="宋体" w:hAnsi="Times New Roman" w:cs="Times New Roman"/>
          <w:sz w:val="24"/>
          <w:szCs w:val="24"/>
        </w:rPr>
        <w:t>本</w:t>
      </w:r>
      <w:r>
        <w:rPr>
          <w:rFonts w:ascii="Times New Roman" w:eastAsia="宋体" w:hAnsi="Times New Roman" w:cs="Times New Roman" w:hint="eastAsia"/>
          <w:sz w:val="24"/>
          <w:szCs w:val="24"/>
        </w:rPr>
        <w:t>标准</w:t>
      </w:r>
      <w:r>
        <w:rPr>
          <w:rFonts w:ascii="Times New Roman" w:eastAsia="宋体" w:hAnsi="Times New Roman" w:cs="Times New Roman"/>
          <w:sz w:val="24"/>
          <w:szCs w:val="24"/>
        </w:rPr>
        <w:t>是在</w:t>
      </w:r>
      <w:r>
        <w:rPr>
          <w:rFonts w:ascii="Times New Roman" w:eastAsia="宋体" w:hAnsi="Times New Roman" w:cs="Times New Roman" w:hint="eastAsia"/>
          <w:sz w:val="24"/>
          <w:szCs w:val="24"/>
        </w:rPr>
        <w:t>参考</w:t>
      </w:r>
      <w:r>
        <w:rPr>
          <w:rFonts w:ascii="Times New Roman" w:eastAsia="宋体" w:hAnsi="Times New Roman" w:cs="Times New Roman"/>
          <w:sz w:val="24"/>
          <w:szCs w:val="24"/>
        </w:rPr>
        <w:t>大量国内外</w:t>
      </w:r>
      <w:r>
        <w:rPr>
          <w:rFonts w:ascii="Times New Roman" w:eastAsia="宋体" w:hAnsi="Times New Roman" w:cs="Times New Roman" w:hint="eastAsia"/>
          <w:sz w:val="24"/>
          <w:szCs w:val="24"/>
        </w:rPr>
        <w:t>aPL</w:t>
      </w:r>
      <w:r>
        <w:rPr>
          <w:rFonts w:ascii="Times New Roman" w:eastAsia="宋体" w:hAnsi="Times New Roman" w:cs="Times New Roman"/>
          <w:sz w:val="24"/>
          <w:szCs w:val="24"/>
        </w:rPr>
        <w:t>检测</w:t>
      </w:r>
      <w:r>
        <w:rPr>
          <w:rFonts w:ascii="Times New Roman" w:eastAsia="宋体" w:hAnsi="Times New Roman" w:cs="Times New Roman" w:hint="eastAsia"/>
          <w:sz w:val="24"/>
          <w:szCs w:val="24"/>
        </w:rPr>
        <w:t>文献及最新研究进展</w:t>
      </w:r>
      <w:r>
        <w:rPr>
          <w:rFonts w:ascii="Times New Roman" w:eastAsia="宋体" w:hAnsi="Times New Roman" w:cs="Times New Roman"/>
          <w:sz w:val="24"/>
          <w:szCs w:val="24"/>
        </w:rPr>
        <w:t>的基础上，结合了临床检验与风湿免疫等领域专家的共识制定而成，</w:t>
      </w:r>
      <w:r>
        <w:rPr>
          <w:rFonts w:ascii="Times New Roman" w:eastAsia="宋体" w:hAnsi="Times New Roman" w:cs="Times New Roman" w:hint="eastAsia"/>
          <w:sz w:val="24"/>
          <w:szCs w:val="24"/>
        </w:rPr>
        <w:t>旨在促进</w:t>
      </w:r>
      <w:r>
        <w:rPr>
          <w:rFonts w:ascii="Times New Roman" w:eastAsia="宋体" w:hAnsi="Times New Roman" w:cs="Times New Roman" w:hint="eastAsia"/>
          <w:sz w:val="24"/>
          <w:szCs w:val="24"/>
        </w:rPr>
        <w:t>aPL</w:t>
      </w:r>
      <w:r>
        <w:rPr>
          <w:rFonts w:ascii="Times New Roman" w:eastAsia="宋体" w:hAnsi="Times New Roman" w:cs="Times New Roman" w:hint="eastAsia"/>
          <w:sz w:val="24"/>
          <w:szCs w:val="24"/>
        </w:rPr>
        <w:t>的实验室</w:t>
      </w:r>
      <w:r>
        <w:rPr>
          <w:rFonts w:ascii="Times New Roman" w:eastAsia="宋体" w:hAnsi="Times New Roman" w:cs="Times New Roman"/>
          <w:sz w:val="24"/>
          <w:szCs w:val="24"/>
        </w:rPr>
        <w:t>检测及临床应用</w:t>
      </w:r>
      <w:r>
        <w:rPr>
          <w:rFonts w:ascii="Times New Roman" w:eastAsia="宋体" w:hAnsi="Times New Roman" w:cs="Times New Roman" w:hint="eastAsia"/>
          <w:sz w:val="24"/>
          <w:szCs w:val="24"/>
        </w:rPr>
        <w:t>的规范化及标准化</w:t>
      </w:r>
      <w:r>
        <w:rPr>
          <w:rFonts w:ascii="Times New Roman" w:eastAsia="宋体" w:hAnsi="Times New Roman" w:cs="Times New Roman"/>
          <w:sz w:val="24"/>
          <w:szCs w:val="24"/>
        </w:rPr>
        <w:t>。本</w:t>
      </w:r>
      <w:r>
        <w:rPr>
          <w:rFonts w:ascii="Times New Roman" w:eastAsia="宋体" w:hAnsi="Times New Roman" w:cs="Times New Roman" w:hint="eastAsia"/>
          <w:sz w:val="24"/>
          <w:szCs w:val="24"/>
        </w:rPr>
        <w:t>标准</w:t>
      </w:r>
      <w:r>
        <w:rPr>
          <w:rFonts w:ascii="Times New Roman" w:eastAsia="宋体" w:hAnsi="Times New Roman" w:cs="Times New Roman"/>
          <w:sz w:val="24"/>
          <w:szCs w:val="24"/>
        </w:rPr>
        <w:t>虽然借鉴了国际指南和国内外的最新进展，且经多学科专家的认真讨论和反复修改，仍难免存在不足和局限性，</w:t>
      </w:r>
      <w:r>
        <w:rPr>
          <w:rFonts w:ascii="Times New Roman" w:eastAsia="宋体" w:hAnsi="Times New Roman" w:cs="Times New Roman" w:hint="eastAsia"/>
          <w:sz w:val="24"/>
          <w:szCs w:val="24"/>
        </w:rPr>
        <w:t>有待在</w:t>
      </w:r>
      <w:r>
        <w:rPr>
          <w:rFonts w:ascii="Times New Roman" w:eastAsia="宋体" w:hAnsi="Times New Roman" w:cs="Times New Roman"/>
          <w:sz w:val="24"/>
          <w:szCs w:val="24"/>
        </w:rPr>
        <w:t>临床实践中不断补充、修改和完善。</w:t>
      </w:r>
    </w:p>
    <w:p w14:paraId="16929C31" w14:textId="49EC455C" w:rsidR="005B791F" w:rsidRPr="0063766E" w:rsidRDefault="0063766E" w:rsidP="0063766E">
      <w:pPr>
        <w:pStyle w:val="1"/>
        <w:rPr>
          <w:rFonts w:ascii="Times New Roman" w:eastAsia="宋体" w:hAnsi="Times New Roman" w:cs="Times New Roman"/>
          <w:b/>
          <w:bCs/>
          <w:sz w:val="24"/>
          <w:szCs w:val="24"/>
        </w:rPr>
      </w:pPr>
      <w:bookmarkStart w:id="13" w:name="_Toc210991469"/>
      <w:r w:rsidRPr="0063766E">
        <w:rPr>
          <w:rFonts w:ascii="Times New Roman" w:eastAsia="宋体" w:hAnsi="Times New Roman" w:cs="Times New Roman" w:hint="eastAsia"/>
          <w:b/>
          <w:bCs/>
          <w:sz w:val="24"/>
          <w:szCs w:val="24"/>
        </w:rPr>
        <w:t xml:space="preserve">10. </w:t>
      </w:r>
      <w:r w:rsidRPr="0063766E">
        <w:rPr>
          <w:rFonts w:ascii="Times New Roman" w:eastAsia="宋体" w:hAnsi="Times New Roman" w:cs="Times New Roman"/>
          <w:b/>
          <w:bCs/>
          <w:sz w:val="24"/>
          <w:szCs w:val="24"/>
        </w:rPr>
        <w:t>参考文献</w:t>
      </w:r>
      <w:bookmarkEnd w:id="13"/>
    </w:p>
    <w:p w14:paraId="117EC943" w14:textId="77777777" w:rsidR="005B791F" w:rsidRDefault="00000000">
      <w:pPr>
        <w:autoSpaceDE w:val="0"/>
        <w:autoSpaceDN w:val="0"/>
        <w:adjustRightInd w:val="0"/>
        <w:spacing w:line="360" w:lineRule="auto"/>
        <w:rPr>
          <w:rFonts w:ascii="Times New Roman" w:hAnsi="Times New Roman" w:cs="Times New Roman"/>
          <w:kern w:val="0"/>
          <w:szCs w:val="21"/>
        </w:rPr>
      </w:pPr>
      <w:r>
        <w:rPr>
          <w:rFonts w:ascii="Times New Roman" w:hAnsi="Times New Roman" w:cs="Times New Roman"/>
          <w:color w:val="000000"/>
          <w:kern w:val="0"/>
          <w:szCs w:val="21"/>
        </w:rPr>
        <w:t>[1].</w:t>
      </w:r>
      <w:bookmarkStart w:id="14" w:name="_neb19EBD34F_EFE3_44E6_AEC9_575C4768DCCF"/>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Barbhaiya, M., et al., 2023 ACR/EULAR antiphospholipid syndrome classification criteria. Annals of the Rheumatic Diseases, 2023. 82(10): p. 1258-1270.</w:t>
      </w:r>
      <w:bookmarkEnd w:id="14"/>
    </w:p>
    <w:p w14:paraId="47FBD16D"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[2].</w:t>
      </w:r>
      <w:bookmarkStart w:id="15" w:name="_neb502247F8_5512_46B1_B8C7_A9A3F4E179F7"/>
      <w:r>
        <w:rPr>
          <w:rFonts w:ascii="Times New Roman" w:hAnsi="Times New Roman" w:cs="Times New Roman" w:hint="eastAsia"/>
          <w:color w:val="000000"/>
          <w:kern w:val="0"/>
          <w:szCs w:val="21"/>
        </w:rPr>
        <w:t xml:space="preserve"> Zhang, S., et al., Clinical performance of non-criteria antibodies to phospholipids in Chinese  patients with antiphospholipid syndrome. Clin Chim Acta, 2019. 495: p. 205-209.</w:t>
      </w:r>
    </w:p>
    <w:p w14:paraId="229E2462" w14:textId="77777777" w:rsidR="005B791F" w:rsidRDefault="00000000">
      <w:pPr>
        <w:autoSpaceDE w:val="0"/>
        <w:autoSpaceDN w:val="0"/>
        <w:adjustRightInd w:val="0"/>
        <w:spacing w:line="360" w:lineRule="auto"/>
        <w:rPr>
          <w:rFonts w:ascii="Times New Roman" w:hAnsi="Times New Roman" w:cs="Times New Roman"/>
          <w:kern w:val="0"/>
          <w:szCs w:val="21"/>
        </w:rPr>
      </w:pPr>
      <w:r>
        <w:rPr>
          <w:rFonts w:ascii="Times New Roman" w:hAnsi="Times New Roman" w:cs="Times New Roman"/>
          <w:color w:val="000000"/>
          <w:kern w:val="0"/>
          <w:szCs w:val="21"/>
        </w:rPr>
        <w:t>[3].</w:t>
      </w:r>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Garcia, D. and D. Erkan, Diagnosis and Management of the Antiphospholipid Syndrome. N Engl J Med, 2018. 378(21): p. 2010-2021.</w:t>
      </w:r>
      <w:bookmarkEnd w:id="15"/>
    </w:p>
    <w:p w14:paraId="27E678A7"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bookmarkStart w:id="16" w:name="_nebDAB69B94_CEE8_404A_902F_F8E5A39D0116"/>
      <w:r>
        <w:rPr>
          <w:rFonts w:ascii="Times New Roman" w:hAnsi="Times New Roman" w:cs="Times New Roman"/>
          <w:color w:val="000000"/>
          <w:kern w:val="0"/>
          <w:szCs w:val="21"/>
        </w:rPr>
        <w:lastRenderedPageBreak/>
        <w:t>[4]</w:t>
      </w:r>
      <w:r>
        <w:rPr>
          <w:rFonts w:ascii="Times New Roman" w:hAnsi="Times New Roman" w:cs="Times New Roman" w:hint="eastAsia"/>
          <w:color w:val="000000"/>
          <w:kern w:val="0"/>
          <w:szCs w:val="21"/>
        </w:rPr>
        <w:t>. Xiao, M., et al., Antiphospholipid Antibodies in Critically Ill Patients With COVID-19. Arthritis Rheumatol, 2020. 72(12): p. 1998-2004.</w:t>
      </w:r>
    </w:p>
    <w:p w14:paraId="4FAF6939"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5</w:t>
      </w: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 Zhang, Y., et al., Coagulopathy and Antiphospholipid Antibodies in Patients with Covid-19. N Engl J Med, 2020. 382(17): p. e38.</w:t>
      </w:r>
    </w:p>
    <w:p w14:paraId="17647F49"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6</w:t>
      </w: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 xml:space="preserve"> </w:t>
      </w:r>
      <w:r>
        <w:rPr>
          <w:rFonts w:ascii="Times New Roman" w:hAnsi="Times New Roman" w:cs="Times New Roman" w:hint="eastAsia"/>
          <w:color w:val="000000"/>
          <w:kern w:val="0"/>
          <w:szCs w:val="21"/>
          <w:lang w:val="zh-CN"/>
        </w:rPr>
        <w:t>张蜀澜等</w:t>
      </w:r>
      <w:r>
        <w:rPr>
          <w:rFonts w:ascii="Times New Roman" w:hAnsi="Times New Roman" w:cs="Times New Roman" w:hint="eastAsia"/>
          <w:color w:val="000000"/>
          <w:kern w:val="0"/>
          <w:szCs w:val="21"/>
          <w:lang w:val="zh-CN"/>
        </w:rPr>
        <w:t xml:space="preserve">, </w:t>
      </w:r>
      <w:r>
        <w:rPr>
          <w:rFonts w:ascii="Times New Roman" w:hAnsi="Times New Roman" w:cs="Times New Roman" w:hint="eastAsia"/>
          <w:color w:val="000000"/>
          <w:kern w:val="0"/>
          <w:szCs w:val="21"/>
          <w:lang w:val="zh-CN"/>
        </w:rPr>
        <w:t>不同亚型抗磷脂抗体在系统性红斑狼疮诊断中的价值</w:t>
      </w:r>
      <w:r>
        <w:rPr>
          <w:rFonts w:ascii="Times New Roman" w:hAnsi="Times New Roman" w:cs="Times New Roman" w:hint="eastAsia"/>
          <w:color w:val="000000"/>
          <w:kern w:val="0"/>
          <w:szCs w:val="21"/>
          <w:lang w:val="zh-CN"/>
        </w:rPr>
        <w:t xml:space="preserve">. </w:t>
      </w:r>
      <w:r>
        <w:rPr>
          <w:rFonts w:ascii="Times New Roman" w:hAnsi="Times New Roman" w:cs="Times New Roman" w:hint="eastAsia"/>
          <w:color w:val="000000"/>
          <w:kern w:val="0"/>
          <w:szCs w:val="21"/>
          <w:lang w:val="zh-CN"/>
        </w:rPr>
        <w:t>中华检验医学杂志</w:t>
      </w:r>
      <w:r>
        <w:rPr>
          <w:rFonts w:ascii="Times New Roman" w:hAnsi="Times New Roman" w:cs="Times New Roman" w:hint="eastAsia"/>
          <w:color w:val="000000"/>
          <w:kern w:val="0"/>
          <w:szCs w:val="21"/>
          <w:lang w:val="zh-CN"/>
        </w:rPr>
        <w:t xml:space="preserve">, 2014(8): </w:t>
      </w:r>
      <w:r>
        <w:rPr>
          <w:rFonts w:ascii="Times New Roman" w:hAnsi="Times New Roman" w:cs="Times New Roman" w:hint="eastAsia"/>
          <w:color w:val="000000"/>
          <w:kern w:val="0"/>
          <w:szCs w:val="21"/>
        </w:rPr>
        <w:t>p. 597-602.</w:t>
      </w:r>
      <w:r>
        <w:rPr>
          <w:rFonts w:ascii="Times New Roman" w:hAnsi="Times New Roman" w:cs="Times New Roman"/>
          <w:color w:val="000000"/>
          <w:kern w:val="0"/>
          <w:szCs w:val="21"/>
        </w:rPr>
        <w:t xml:space="preserve"> </w:t>
      </w:r>
    </w:p>
    <w:p w14:paraId="0573C341" w14:textId="77777777" w:rsidR="005B791F" w:rsidRDefault="00000000">
      <w:pPr>
        <w:autoSpaceDE w:val="0"/>
        <w:autoSpaceDN w:val="0"/>
        <w:adjustRightInd w:val="0"/>
        <w:spacing w:line="360" w:lineRule="auto"/>
        <w:rPr>
          <w:rFonts w:ascii="Times New Roman" w:hAnsi="Times New Roman" w:cs="Times New Roman"/>
          <w:kern w:val="0"/>
          <w:szCs w:val="21"/>
        </w:rPr>
      </w:pPr>
      <w:r>
        <w:rPr>
          <w:rFonts w:ascii="Times New Roman" w:hAnsi="Times New Roman" w:cs="Times New Roman"/>
          <w:color w:val="000000"/>
          <w:kern w:val="0"/>
          <w:szCs w:val="21"/>
        </w:rPr>
        <w:t>[7].</w:t>
      </w:r>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Lakos, G., et al., International consensus guidelines on anticardiolipin and anti-</w:t>
      </w:r>
      <w:r>
        <w:rPr>
          <w:rFonts w:ascii="Times New Roman" w:eastAsia="宋体" w:hAnsi="Times New Roman" w:cs="Times New Roman"/>
          <w:color w:val="000000"/>
          <w:kern w:val="0"/>
          <w:szCs w:val="21"/>
        </w:rPr>
        <w:t>β</w:t>
      </w:r>
      <w:r>
        <w:rPr>
          <w:rFonts w:ascii="Times New Roman" w:hAnsi="Times New Roman" w:cs="Times New Roman"/>
          <w:color w:val="000000"/>
          <w:kern w:val="0"/>
          <w:szCs w:val="21"/>
        </w:rPr>
        <w:t>2-glycoprotein I testing: report from the 13th International Congress on Antiphospholipid Antibodies. Arthritis Rheum, 2012. 64(1): p. 1-10.</w:t>
      </w:r>
      <w:bookmarkEnd w:id="16"/>
    </w:p>
    <w:p w14:paraId="45163CC6" w14:textId="77777777" w:rsidR="005B791F" w:rsidRDefault="00000000">
      <w:pPr>
        <w:autoSpaceDE w:val="0"/>
        <w:autoSpaceDN w:val="0"/>
        <w:adjustRightInd w:val="0"/>
        <w:spacing w:line="360" w:lineRule="auto"/>
        <w:rPr>
          <w:rFonts w:ascii="Times New Roman" w:hAnsi="Times New Roman" w:cs="Times New Roman"/>
          <w:kern w:val="0"/>
          <w:szCs w:val="21"/>
        </w:rPr>
      </w:pPr>
      <w:r>
        <w:rPr>
          <w:rFonts w:ascii="Times New Roman" w:hAnsi="Times New Roman" w:cs="Times New Roman"/>
          <w:color w:val="000000"/>
          <w:kern w:val="0"/>
          <w:szCs w:val="21"/>
        </w:rPr>
        <w:t>[8].</w:t>
      </w:r>
      <w:bookmarkStart w:id="17" w:name="_neb4156EA96_7531_4EF9_B358_C91AB71AEC9F"/>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Devreese, K.M.J., et al., Testing for Antiphospholipid antibodies with Solid Phase Assays: guidance from the SSC of the ISTH. Journal of Thrombosis and Haemostasis, 2014. 12(5): p. 792-795.</w:t>
      </w:r>
      <w:bookmarkEnd w:id="17"/>
    </w:p>
    <w:p w14:paraId="01265F8F" w14:textId="77777777" w:rsidR="005B791F" w:rsidRDefault="00000000">
      <w:pPr>
        <w:autoSpaceDE w:val="0"/>
        <w:autoSpaceDN w:val="0"/>
        <w:adjustRightInd w:val="0"/>
        <w:spacing w:line="360" w:lineRule="auto"/>
        <w:rPr>
          <w:rFonts w:ascii="Times New Roman" w:hAnsi="Times New Roman" w:cs="Times New Roman"/>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9</w:t>
      </w:r>
      <w:r>
        <w:rPr>
          <w:rFonts w:ascii="Times New Roman" w:hAnsi="Times New Roman" w:cs="Times New Roman"/>
          <w:color w:val="000000"/>
          <w:kern w:val="0"/>
          <w:szCs w:val="21"/>
        </w:rPr>
        <w:t>].</w:t>
      </w:r>
      <w:bookmarkStart w:id="18" w:name="_neb06288F58_8014_4920_A473_088D8A4D2111"/>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Miyakis, S., et al., International consensus statement on an update of the classification criteria for definite antiphospholipid syndrome (APS). J Thromb Haemost, 2006. 4(2): p. 295-306.</w:t>
      </w:r>
      <w:bookmarkEnd w:id="18"/>
    </w:p>
    <w:p w14:paraId="382CAC71" w14:textId="77777777" w:rsidR="005B791F" w:rsidRDefault="00000000">
      <w:pPr>
        <w:autoSpaceDE w:val="0"/>
        <w:autoSpaceDN w:val="0"/>
        <w:adjustRightInd w:val="0"/>
        <w:spacing w:line="360" w:lineRule="auto"/>
        <w:rPr>
          <w:rFonts w:ascii="Times New Roman" w:hAnsi="Times New Roman" w:cs="Times New Roman"/>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10</w:t>
      </w:r>
      <w:r>
        <w:rPr>
          <w:rFonts w:ascii="Times New Roman" w:hAnsi="Times New Roman" w:cs="Times New Roman"/>
          <w:color w:val="000000"/>
          <w:kern w:val="0"/>
          <w:szCs w:val="21"/>
        </w:rPr>
        <w:t>].</w:t>
      </w:r>
      <w:r>
        <w:rPr>
          <w:rFonts w:ascii="Times New Roman" w:hAnsi="Times New Roman" w:cs="Times New Roman"/>
          <w:color w:val="000000"/>
          <w:kern w:val="0"/>
          <w:szCs w:val="21"/>
        </w:rPr>
        <w:tab/>
      </w:r>
      <w:bookmarkStart w:id="19" w:name="_neb753F36F0_1091_4D5C_915B_FA2D4C0F6C25"/>
      <w:r>
        <w:rPr>
          <w:rFonts w:ascii="Times New Roman" w:hAnsi="Times New Roman" w:cs="Times New Roman"/>
          <w:color w:val="000000"/>
          <w:kern w:val="0"/>
          <w:szCs w:val="21"/>
        </w:rPr>
        <w:t>Devreese, K., et al., An update on laboratory detection and interpretation of antiphospholipid antibodies for diagnosis of antiphospholipid syndrome: guidance from the ISTH-SSC Subcommittee on Lupus Anticoagulant/Antiphospholipid Antibodies. J Thromb Haemost, 2025. 23(2): p. 731-744.</w:t>
      </w:r>
      <w:bookmarkEnd w:id="19"/>
    </w:p>
    <w:p w14:paraId="24E04D6F"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bookmarkStart w:id="20" w:name="_Hlk209773705"/>
      <w:bookmarkStart w:id="21" w:name="_nebEF4E0235_802B_46C4_9722_9F08C499AFCD"/>
      <w:r>
        <w:rPr>
          <w:rFonts w:ascii="Times New Roman" w:hAnsi="Times New Roman" w:cs="Times New Roman"/>
          <w:color w:val="000000"/>
          <w:kern w:val="0"/>
          <w:szCs w:val="21"/>
        </w:rPr>
        <w:t>[</w:t>
      </w:r>
      <w:r>
        <w:rPr>
          <w:rFonts w:ascii="Times New Roman" w:hAnsi="Times New Roman" w:cs="Times New Roman" w:hint="eastAsia"/>
          <w:color w:val="000000"/>
          <w:kern w:val="0"/>
          <w:szCs w:val="21"/>
        </w:rPr>
        <w:t>11</w:t>
      </w:r>
      <w:r>
        <w:rPr>
          <w:rFonts w:ascii="Times New Roman" w:hAnsi="Times New Roman" w:cs="Times New Roman"/>
          <w:color w:val="000000"/>
          <w:kern w:val="0"/>
          <w:szCs w:val="21"/>
        </w:rPr>
        <w:t>].</w:t>
      </w:r>
      <w:r>
        <w:rPr>
          <w:rFonts w:ascii="Times New Roman" w:hAnsi="Times New Roman" w:cs="Times New Roman"/>
          <w:color w:val="000000"/>
          <w:kern w:val="0"/>
          <w:szCs w:val="21"/>
        </w:rPr>
        <w:tab/>
      </w:r>
      <w:bookmarkEnd w:id="20"/>
      <w:r>
        <w:rPr>
          <w:rFonts w:ascii="Times New Roman" w:hAnsi="Times New Roman" w:cs="Times New Roman"/>
          <w:color w:val="000000"/>
          <w:kern w:val="0"/>
          <w:szCs w:val="21"/>
        </w:rPr>
        <w:t>Meroni, P.L., et al., 2023 American College of Rheumatology/European League Against Rheumatism antiphospholipid syndrome classification criteria solid</w:t>
      </w:r>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phase</w:t>
      </w:r>
      <w:r>
        <w:rPr>
          <w:rFonts w:ascii="Times New Roman" w:hAnsi="Times New Roman" w:cs="Times New Roman" w:hint="eastAsia"/>
          <w:color w:val="000000"/>
          <w:kern w:val="0"/>
          <w:szCs w:val="21"/>
        </w:rPr>
        <w:t>-</w:t>
      </w:r>
      <w:r>
        <w:rPr>
          <w:rFonts w:ascii="Times New Roman" w:hAnsi="Times New Roman" w:cs="Times New Roman"/>
          <w:color w:val="000000"/>
          <w:kern w:val="0"/>
          <w:szCs w:val="21"/>
        </w:rPr>
        <w:t>based antiphospholipid antibody domain</w:t>
      </w:r>
      <w:r>
        <w:rPr>
          <w:rFonts w:ascii="Times New Roman" w:hAnsi="Times New Roman" w:cs="Times New Roman" w:hint="eastAsia"/>
          <w:color w:val="000000"/>
          <w:kern w:val="0"/>
          <w:szCs w:val="21"/>
        </w:rPr>
        <w:t>-</w:t>
      </w:r>
      <w:r>
        <w:rPr>
          <w:rFonts w:ascii="Times New Roman" w:hAnsi="Times New Roman" w:cs="Times New Roman"/>
          <w:color w:val="000000"/>
          <w:kern w:val="0"/>
          <w:szCs w:val="21"/>
        </w:rPr>
        <w:t>collaborative efforts of Antiphospholipid Syndrome Alliance for Clinical Trials and International Networking and ISTH SSC to harmonize enzyme-linked immunosorbent assay and non</w:t>
      </w:r>
      <w:r>
        <w:rPr>
          <w:rFonts w:ascii="Times New Roman" w:hAnsi="Times New Roman" w:cs="Times New Roman" w:hint="eastAsia"/>
          <w:color w:val="000000"/>
          <w:kern w:val="0"/>
          <w:szCs w:val="21"/>
        </w:rPr>
        <w:t>-</w:t>
      </w:r>
      <w:r>
        <w:rPr>
          <w:rFonts w:ascii="Times New Roman" w:hAnsi="Times New Roman" w:cs="Times New Roman"/>
          <w:color w:val="000000"/>
          <w:kern w:val="0"/>
          <w:szCs w:val="21"/>
        </w:rPr>
        <w:t>enzyme-linked immunosorbent assay</w:t>
      </w:r>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antiphospholipid antibody tests: communication from the ISTH SSC Subcommittee on Lupus Anticoagulant/Antiphospholipid Antibodies. Journal of Thrombosis and Haemostasis, 2025. 23(1): p. 341-344.</w:t>
      </w:r>
      <w:bookmarkEnd w:id="21"/>
    </w:p>
    <w:p w14:paraId="4C076D38" w14:textId="77777777" w:rsidR="005B791F" w:rsidRDefault="00000000">
      <w:pPr>
        <w:jc w:val="left"/>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12</w:t>
      </w:r>
      <w:r>
        <w:rPr>
          <w:rFonts w:ascii="Times New Roman" w:hAnsi="Times New Roman" w:cs="Times New Roman"/>
          <w:color w:val="000000"/>
          <w:kern w:val="0"/>
          <w:szCs w:val="21"/>
        </w:rPr>
        <w:t>].</w:t>
      </w:r>
      <w:r>
        <w:rPr>
          <w:rFonts w:ascii="Times New Roman" w:hAnsi="Times New Roman" w:cs="Times New Roman"/>
          <w:color w:val="000000"/>
          <w:kern w:val="0"/>
          <w:szCs w:val="21"/>
        </w:rPr>
        <w:tab/>
        <w:t>CLSI EP15-A3:2014: User Verification of Precision and Estimation of Bias; Approved Guideline—Third Edition</w:t>
      </w:r>
    </w:p>
    <w:p w14:paraId="53F5EBA3" w14:textId="77777777" w:rsidR="005B791F" w:rsidRDefault="00000000">
      <w:pPr>
        <w:jc w:val="left"/>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13</w:t>
      </w:r>
      <w:r>
        <w:rPr>
          <w:rFonts w:ascii="Times New Roman" w:hAnsi="Times New Roman" w:cs="Times New Roman"/>
          <w:color w:val="000000"/>
          <w:kern w:val="0"/>
          <w:szCs w:val="21"/>
        </w:rPr>
        <w:t>].</w:t>
      </w:r>
      <w:r>
        <w:rPr>
          <w:rFonts w:ascii="Times New Roman" w:hAnsi="Times New Roman" w:cs="Times New Roman"/>
          <w:color w:val="000000"/>
          <w:kern w:val="0"/>
          <w:szCs w:val="21"/>
        </w:rPr>
        <w:tab/>
        <w:t>CLSI EP15 ED3IG1:2021: User Verification of Precision and Estimation of Bias; Implementation Guide for EP15-A3</w:t>
      </w:r>
    </w:p>
    <w:p w14:paraId="1C5DB471" w14:textId="77777777" w:rsidR="005B791F" w:rsidRDefault="00000000">
      <w:pPr>
        <w:jc w:val="left"/>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14</w:t>
      </w:r>
      <w:r>
        <w:rPr>
          <w:rFonts w:ascii="Times New Roman" w:hAnsi="Times New Roman" w:cs="Times New Roman"/>
          <w:color w:val="000000"/>
          <w:kern w:val="0"/>
          <w:szCs w:val="21"/>
        </w:rPr>
        <w:t>].</w:t>
      </w:r>
      <w:r>
        <w:rPr>
          <w:rFonts w:ascii="Times New Roman" w:hAnsi="Times New Roman" w:cs="Times New Roman"/>
          <w:color w:val="000000"/>
          <w:kern w:val="0"/>
          <w:szCs w:val="21"/>
        </w:rPr>
        <w:tab/>
        <w:t>CLSI EP15 ED3IG2:2021: User Verification of Precision and Estimation of Bias; Implementation Guide 2 for EP15-A3</w:t>
      </w:r>
    </w:p>
    <w:p w14:paraId="51E01FED" w14:textId="77777777" w:rsidR="005B791F" w:rsidRDefault="00000000">
      <w:pPr>
        <w:spacing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w:t>
      </w:r>
      <w:r>
        <w:rPr>
          <w:rFonts w:ascii="Times New Roman" w:hAnsi="Times New Roman" w:cs="Times New Roman" w:hint="eastAsia"/>
          <w:color w:val="000000"/>
          <w:kern w:val="0"/>
          <w:szCs w:val="21"/>
        </w:rPr>
        <w:t>15</w:t>
      </w:r>
      <w:r>
        <w:rPr>
          <w:rFonts w:ascii="Times New Roman" w:hAnsi="Times New Roman" w:cs="Times New Roman"/>
          <w:color w:val="000000"/>
          <w:kern w:val="0"/>
          <w:szCs w:val="21"/>
        </w:rPr>
        <w:t>].</w:t>
      </w:r>
      <w:r>
        <w:rPr>
          <w:rFonts w:ascii="Times New Roman" w:hAnsi="Times New Roman" w:cs="Times New Roman"/>
          <w:color w:val="000000"/>
          <w:kern w:val="0"/>
          <w:szCs w:val="21"/>
        </w:rPr>
        <w:tab/>
        <w:t xml:space="preserve">WS/T 408-2024. </w:t>
      </w:r>
      <w:r>
        <w:rPr>
          <w:rFonts w:ascii="Times New Roman" w:hAnsi="Times New Roman" w:cs="Times New Roman"/>
          <w:color w:val="000000"/>
          <w:kern w:val="0"/>
          <w:szCs w:val="21"/>
        </w:rPr>
        <w:t>定量检验程序分析性能验证指南</w:t>
      </w:r>
      <w:r>
        <w:rPr>
          <w:rFonts w:ascii="Times New Roman" w:hAnsi="Times New Roman" w:cs="Times New Roman"/>
          <w:color w:val="000000"/>
          <w:kern w:val="0"/>
          <w:szCs w:val="21"/>
        </w:rPr>
        <w:t>[S]. 2024.</w:t>
      </w:r>
    </w:p>
    <w:p w14:paraId="1E35AEE0" w14:textId="77777777" w:rsidR="005B791F" w:rsidRDefault="00000000">
      <w:pPr>
        <w:jc w:val="left"/>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16</w:t>
      </w:r>
      <w:r>
        <w:rPr>
          <w:rFonts w:ascii="Times New Roman" w:hAnsi="Times New Roman" w:cs="Times New Roman"/>
          <w:color w:val="000000"/>
          <w:kern w:val="0"/>
          <w:szCs w:val="21"/>
        </w:rPr>
        <w:t>].</w:t>
      </w:r>
      <w:r>
        <w:rPr>
          <w:rFonts w:ascii="Times New Roman" w:hAnsi="Times New Roman" w:cs="Times New Roman"/>
          <w:color w:val="000000"/>
          <w:kern w:val="0"/>
          <w:szCs w:val="21"/>
        </w:rPr>
        <w:tab/>
        <w:t>CLSI EP09C-ED3:2018: Measurement Procedure Comparison and Bias Estimation Using Patient Samples; Approved Guideline—Third Edition</w:t>
      </w:r>
    </w:p>
    <w:p w14:paraId="0C8290CF" w14:textId="77777777" w:rsidR="005B791F" w:rsidRDefault="00000000">
      <w:pPr>
        <w:spacing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17</w:t>
      </w:r>
      <w:r>
        <w:rPr>
          <w:rFonts w:ascii="Times New Roman" w:hAnsi="Times New Roman" w:cs="Times New Roman"/>
          <w:color w:val="000000"/>
          <w:kern w:val="0"/>
          <w:szCs w:val="21"/>
        </w:rPr>
        <w:t>].</w:t>
      </w:r>
      <w:r>
        <w:rPr>
          <w:rFonts w:ascii="Times New Roman" w:hAnsi="Times New Roman" w:cs="Times New Roman"/>
          <w:color w:val="000000"/>
          <w:kern w:val="0"/>
          <w:szCs w:val="21"/>
        </w:rPr>
        <w:tab/>
        <w:t xml:space="preserve">WS/T 804—2022. </w:t>
      </w:r>
      <w:r>
        <w:rPr>
          <w:rFonts w:ascii="Times New Roman" w:hAnsi="Times New Roman" w:cs="Times New Roman"/>
          <w:color w:val="000000"/>
          <w:kern w:val="0"/>
          <w:szCs w:val="21"/>
        </w:rPr>
        <w:t>临床化学检验基本技术标准</w:t>
      </w:r>
      <w:r>
        <w:rPr>
          <w:rFonts w:ascii="Times New Roman" w:hAnsi="Times New Roman" w:cs="Times New Roman"/>
          <w:color w:val="000000"/>
          <w:kern w:val="0"/>
          <w:szCs w:val="21"/>
        </w:rPr>
        <w:t>[S]. 2022.</w:t>
      </w:r>
    </w:p>
    <w:p w14:paraId="07FA08FA"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18</w:t>
      </w:r>
      <w:r>
        <w:rPr>
          <w:rFonts w:ascii="Times New Roman" w:hAnsi="Times New Roman" w:cs="Times New Roman"/>
          <w:color w:val="000000"/>
          <w:kern w:val="0"/>
          <w:szCs w:val="21"/>
        </w:rPr>
        <w:t>].</w:t>
      </w:r>
      <w:r>
        <w:rPr>
          <w:rFonts w:ascii="Times New Roman" w:hAnsi="Times New Roman" w:cs="Times New Roman"/>
          <w:color w:val="000000"/>
          <w:kern w:val="0"/>
          <w:szCs w:val="21"/>
        </w:rPr>
        <w:tab/>
        <w:t>CLSI EP17-A2:2012: Evaluation of Detection Capability for Clinical Laboratory Measurement Procedures; Approved Guideline—Second Edition</w:t>
      </w:r>
    </w:p>
    <w:p w14:paraId="1E372601" w14:textId="77777777" w:rsidR="005B791F" w:rsidRDefault="00000000">
      <w:pPr>
        <w:jc w:val="left"/>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19</w:t>
      </w:r>
      <w:r>
        <w:rPr>
          <w:rFonts w:ascii="Times New Roman" w:hAnsi="Times New Roman" w:cs="Times New Roman"/>
          <w:color w:val="000000"/>
          <w:kern w:val="0"/>
          <w:szCs w:val="21"/>
        </w:rPr>
        <w:t>].</w:t>
      </w:r>
      <w:r>
        <w:rPr>
          <w:rFonts w:ascii="Times New Roman" w:hAnsi="Times New Roman" w:cs="Times New Roman"/>
          <w:color w:val="000000"/>
          <w:kern w:val="0"/>
          <w:szCs w:val="21"/>
        </w:rPr>
        <w:tab/>
        <w:t>CLSI EP06-ED2:2020: Evaluation of the Linearity of Quantitative Measurement Procedures: A Statistical Approach; Approved Guideline—Second Edition</w:t>
      </w:r>
    </w:p>
    <w:p w14:paraId="44B9BD45" w14:textId="77777777" w:rsidR="005B791F" w:rsidRDefault="00000000">
      <w:pPr>
        <w:jc w:val="left"/>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20</w:t>
      </w:r>
      <w:r>
        <w:rPr>
          <w:rFonts w:ascii="Times New Roman" w:hAnsi="Times New Roman" w:cs="Times New Roman"/>
          <w:color w:val="000000"/>
          <w:kern w:val="0"/>
          <w:szCs w:val="21"/>
        </w:rPr>
        <w:t>].</w:t>
      </w:r>
      <w:r>
        <w:rPr>
          <w:rFonts w:ascii="Times New Roman" w:hAnsi="Times New Roman" w:cs="Times New Roman"/>
          <w:color w:val="000000"/>
          <w:kern w:val="0"/>
          <w:szCs w:val="21"/>
        </w:rPr>
        <w:tab/>
        <w:t>CLSI EP07-ED3:2018: Interference Testing in Clinical Chemistry; Approved Guideline—Third Edition</w:t>
      </w:r>
    </w:p>
    <w:p w14:paraId="249ECFCB"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21</w:t>
      </w:r>
      <w:r>
        <w:rPr>
          <w:rFonts w:ascii="Times New Roman" w:hAnsi="Times New Roman" w:cs="Times New Roman"/>
          <w:color w:val="000000"/>
          <w:kern w:val="0"/>
          <w:szCs w:val="21"/>
        </w:rPr>
        <w:t>].CLSI EP24-A2:2011: Assessment of the Diagnostic Accuracy of Laboratory Tests Using Receiver Operating Characteristic Curves; Approved Guideline—Second Edition</w:t>
      </w:r>
    </w:p>
    <w:p w14:paraId="7B965C69" w14:textId="77777777" w:rsidR="005B791F" w:rsidRDefault="00000000">
      <w:pPr>
        <w:spacing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22</w:t>
      </w:r>
      <w:r>
        <w:rPr>
          <w:rFonts w:ascii="Times New Roman" w:hAnsi="Times New Roman" w:cs="Times New Roman"/>
          <w:color w:val="000000"/>
          <w:kern w:val="0"/>
          <w:szCs w:val="21"/>
        </w:rPr>
        <w:t xml:space="preserve">]. WS/T 661-2020. </w:t>
      </w:r>
      <w:r>
        <w:rPr>
          <w:rFonts w:ascii="Times New Roman" w:hAnsi="Times New Roman" w:cs="Times New Roman"/>
          <w:color w:val="000000"/>
          <w:kern w:val="0"/>
          <w:szCs w:val="21"/>
        </w:rPr>
        <w:t>静脉血液标本采集指南</w:t>
      </w:r>
      <w:r>
        <w:rPr>
          <w:rFonts w:ascii="Times New Roman" w:hAnsi="Times New Roman" w:cs="Times New Roman"/>
          <w:color w:val="000000"/>
          <w:kern w:val="0"/>
          <w:szCs w:val="21"/>
        </w:rPr>
        <w:t>[S]. 2020.</w:t>
      </w:r>
    </w:p>
    <w:p w14:paraId="526414CA"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23</w:t>
      </w:r>
      <w:r>
        <w:rPr>
          <w:rFonts w:ascii="Times New Roman" w:hAnsi="Times New Roman" w:cs="Times New Roman"/>
          <w:color w:val="000000"/>
          <w:kern w:val="0"/>
          <w:szCs w:val="21"/>
        </w:rPr>
        <w:t xml:space="preserve">]. WS/T 641-2018. </w:t>
      </w:r>
      <w:r>
        <w:rPr>
          <w:rFonts w:ascii="Times New Roman" w:hAnsi="Times New Roman" w:cs="Times New Roman"/>
          <w:color w:val="000000"/>
          <w:kern w:val="0"/>
          <w:szCs w:val="21"/>
        </w:rPr>
        <w:t>临床检验定量测定室内质量控制</w:t>
      </w:r>
      <w:r>
        <w:rPr>
          <w:rFonts w:ascii="Times New Roman" w:hAnsi="Times New Roman" w:cs="Times New Roman"/>
          <w:color w:val="000000"/>
          <w:kern w:val="0"/>
          <w:szCs w:val="21"/>
        </w:rPr>
        <w:t>[S]. 2018.</w:t>
      </w:r>
    </w:p>
    <w:p w14:paraId="647E71E8"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bookmarkStart w:id="22" w:name="_nebEAA570CC_8571_4FEE_8C98_0B639A35CE44"/>
      <w:r>
        <w:rPr>
          <w:rFonts w:ascii="Times New Roman" w:hAnsi="Times New Roman" w:cs="Times New Roman"/>
          <w:color w:val="000000"/>
          <w:kern w:val="0"/>
          <w:szCs w:val="21"/>
        </w:rPr>
        <w:t>[</w:t>
      </w:r>
      <w:r>
        <w:rPr>
          <w:rFonts w:ascii="Times New Roman" w:hAnsi="Times New Roman" w:cs="Times New Roman" w:hint="eastAsia"/>
          <w:color w:val="000000"/>
          <w:kern w:val="0"/>
          <w:szCs w:val="21"/>
        </w:rPr>
        <w:t>24</w:t>
      </w:r>
      <w:r>
        <w:rPr>
          <w:rFonts w:ascii="Times New Roman" w:hAnsi="Times New Roman" w:cs="Times New Roman"/>
          <w:color w:val="000000"/>
          <w:kern w:val="0"/>
          <w:szCs w:val="21"/>
        </w:rPr>
        <w:t>]. HARRIS, E.N., et al., Evaluation of the anti-cardiolipin antibody test: report of an international workshop held 4 April 1986. Clinical and experimental immunology, 1987. 68(1): p. 215-222.</w:t>
      </w:r>
      <w:bookmarkEnd w:id="22"/>
    </w:p>
    <w:p w14:paraId="61E4BA07"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25</w:t>
      </w:r>
      <w:r>
        <w:rPr>
          <w:rFonts w:ascii="Times New Roman" w:hAnsi="Times New Roman" w:cs="Times New Roman"/>
          <w:color w:val="000000"/>
          <w:kern w:val="0"/>
          <w:szCs w:val="21"/>
        </w:rPr>
        <w:t>].</w:t>
      </w:r>
      <w:r>
        <w:rPr>
          <w:rFonts w:ascii="Times New Roman" w:hAnsi="Times New Roman" w:cs="Times New Roman"/>
          <w:color w:val="000000"/>
          <w:kern w:val="0"/>
          <w:szCs w:val="21"/>
        </w:rPr>
        <w:tab/>
      </w:r>
      <w:bookmarkStart w:id="23" w:name="_neb770FF90A_1F06_4E22_B522_2CAE8D73F320"/>
      <w:r>
        <w:rPr>
          <w:rFonts w:ascii="Times New Roman" w:hAnsi="Times New Roman" w:cs="Times New Roman"/>
          <w:color w:val="000000"/>
          <w:kern w:val="0"/>
          <w:szCs w:val="21"/>
        </w:rPr>
        <w:t>Ichikawa, K., et al., A chimeric antibody with the human gamma1 constant region as a putative standard for assays to detect IgG beta2-glycoprotein I-dependent anticardiolipin and anti-beta2-glycoprotein I antibodies. Arthritis Rheum, 1999. 42(11): p. 2461-70.</w:t>
      </w:r>
      <w:bookmarkEnd w:id="23"/>
    </w:p>
    <w:p w14:paraId="1EC19C33"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26</w:t>
      </w:r>
      <w:r>
        <w:rPr>
          <w:rFonts w:ascii="Times New Roman" w:hAnsi="Times New Roman" w:cs="Times New Roman"/>
          <w:color w:val="000000"/>
          <w:kern w:val="0"/>
          <w:szCs w:val="21"/>
        </w:rPr>
        <w:t>].</w:t>
      </w:r>
      <w:r>
        <w:rPr>
          <w:rFonts w:ascii="Times New Roman" w:hAnsi="Times New Roman" w:cs="Times New Roman"/>
          <w:color w:val="000000"/>
          <w:kern w:val="0"/>
          <w:szCs w:val="21"/>
        </w:rPr>
        <w:tab/>
      </w:r>
      <w:bookmarkStart w:id="24" w:name="_neb18EACCFF_EC69_413E_8320_5D638E5A3CF8"/>
      <w:r>
        <w:rPr>
          <w:rFonts w:ascii="Times New Roman" w:hAnsi="Times New Roman" w:cs="Times New Roman"/>
          <w:color w:val="000000"/>
          <w:kern w:val="0"/>
          <w:szCs w:val="21"/>
        </w:rPr>
        <w:t>Monogioudi, E., et al., Development of a certified reference material for anti-β2-glycoprotein I IgG - commutability studies. Clin Chem Lab Med, 2020. 59(2): p. 325-332.</w:t>
      </w:r>
      <w:bookmarkEnd w:id="24"/>
    </w:p>
    <w:p w14:paraId="04921B76"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27</w:t>
      </w:r>
      <w:r>
        <w:rPr>
          <w:rFonts w:ascii="Times New Roman" w:hAnsi="Times New Roman" w:cs="Times New Roman"/>
          <w:color w:val="000000"/>
          <w:kern w:val="0"/>
          <w:szCs w:val="21"/>
        </w:rPr>
        <w:t>].</w:t>
      </w:r>
      <w:r>
        <w:rPr>
          <w:rFonts w:ascii="Times New Roman" w:hAnsi="Times New Roman" w:cs="Times New Roman"/>
          <w:color w:val="000000"/>
          <w:kern w:val="0"/>
          <w:szCs w:val="21"/>
        </w:rPr>
        <w:tab/>
      </w:r>
      <w:bookmarkStart w:id="25" w:name="_nebFD5CD9B8_D2BA_4741_A211_0CC4F68F34A1"/>
      <w:r>
        <w:rPr>
          <w:rFonts w:ascii="Times New Roman" w:hAnsi="Times New Roman" w:cs="Times New Roman"/>
          <w:color w:val="000000"/>
          <w:kern w:val="0"/>
          <w:szCs w:val="21"/>
        </w:rPr>
        <w:t>Grossi, C., et al., Antiphospholipid IgG Certified Reference Material ERM® -DA477/IFCC: a tool for aPL harmonization? Clinical Chemistry and Laboratory Medicine (CCLM), 2025. 63(7): p. 1315-1326.</w:t>
      </w:r>
      <w:bookmarkEnd w:id="25"/>
    </w:p>
    <w:p w14:paraId="7434238E" w14:textId="77777777" w:rsidR="005B791F" w:rsidRDefault="00000000">
      <w:pPr>
        <w:jc w:val="left"/>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28</w:t>
      </w:r>
      <w:r>
        <w:rPr>
          <w:rFonts w:ascii="Times New Roman" w:hAnsi="Times New Roman" w:cs="Times New Roman"/>
          <w:color w:val="000000"/>
          <w:kern w:val="0"/>
          <w:szCs w:val="21"/>
        </w:rPr>
        <w:t>].</w:t>
      </w:r>
      <w:r>
        <w:rPr>
          <w:rFonts w:ascii="Times New Roman" w:hAnsi="Times New Roman" w:cs="Times New Roman"/>
          <w:color w:val="000000"/>
          <w:kern w:val="0"/>
          <w:szCs w:val="21"/>
        </w:rPr>
        <w:tab/>
        <w:t>CLSI EP28-A3C:2010: Defining, Establishing, and Verifying Reference Intervals in the Clinical Laboratory; Approved Guideline—Third Edition</w:t>
      </w:r>
    </w:p>
    <w:p w14:paraId="0F44E671" w14:textId="77777777" w:rsidR="005B791F" w:rsidRDefault="00000000">
      <w:pPr>
        <w:spacing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29</w:t>
      </w:r>
      <w:r>
        <w:rPr>
          <w:rFonts w:ascii="Times New Roman" w:hAnsi="Times New Roman" w:cs="Times New Roman"/>
          <w:color w:val="000000"/>
          <w:kern w:val="0"/>
          <w:szCs w:val="21"/>
        </w:rPr>
        <w:t>].</w:t>
      </w:r>
      <w:r>
        <w:rPr>
          <w:rFonts w:ascii="Times New Roman" w:hAnsi="Times New Roman" w:cs="Times New Roman"/>
          <w:color w:val="000000"/>
          <w:kern w:val="0"/>
          <w:szCs w:val="21"/>
        </w:rPr>
        <w:tab/>
        <w:t xml:space="preserve">WS/T 402—2024. </w:t>
      </w:r>
      <w:r>
        <w:rPr>
          <w:rFonts w:ascii="Times New Roman" w:hAnsi="Times New Roman" w:cs="Times New Roman"/>
          <w:color w:val="000000"/>
          <w:kern w:val="0"/>
          <w:szCs w:val="21"/>
        </w:rPr>
        <w:t>临床实验室定量检验项目参考区间的制定</w:t>
      </w:r>
      <w:r>
        <w:rPr>
          <w:rFonts w:ascii="Times New Roman" w:hAnsi="Times New Roman" w:cs="Times New Roman"/>
          <w:color w:val="000000"/>
          <w:kern w:val="0"/>
          <w:szCs w:val="21"/>
        </w:rPr>
        <w:t>[S]. 2024.</w:t>
      </w:r>
    </w:p>
    <w:p w14:paraId="6149273C"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30</w:t>
      </w:r>
      <w:r>
        <w:rPr>
          <w:rFonts w:ascii="Times New Roman" w:hAnsi="Times New Roman" w:cs="Times New Roman"/>
          <w:color w:val="000000"/>
          <w:kern w:val="0"/>
          <w:szCs w:val="21"/>
        </w:rPr>
        <w:t>].</w:t>
      </w:r>
      <w:r>
        <w:rPr>
          <w:rFonts w:ascii="Times New Roman" w:hAnsi="Times New Roman" w:cs="Times New Roman"/>
          <w:color w:val="000000"/>
          <w:kern w:val="0"/>
          <w:szCs w:val="21"/>
        </w:rPr>
        <w:tab/>
      </w:r>
      <w:r>
        <w:rPr>
          <w:rFonts w:ascii="Times New Roman" w:hAnsi="Times New Roman" w:cs="Times New Roman" w:hint="eastAsia"/>
          <w:color w:val="000000"/>
          <w:kern w:val="0"/>
          <w:szCs w:val="21"/>
        </w:rPr>
        <w:t>张蜀澜等</w:t>
      </w:r>
      <w:r>
        <w:rPr>
          <w:rFonts w:ascii="Times New Roman" w:hAnsi="Times New Roman" w:cs="Times New Roman" w:hint="eastAsia"/>
          <w:color w:val="000000"/>
          <w:kern w:val="0"/>
          <w:szCs w:val="21"/>
        </w:rPr>
        <w:t xml:space="preserve">, </w:t>
      </w:r>
      <w:r>
        <w:rPr>
          <w:rFonts w:ascii="Times New Roman" w:hAnsi="Times New Roman" w:cs="Times New Roman" w:hint="eastAsia"/>
          <w:color w:val="000000"/>
          <w:kern w:val="0"/>
          <w:szCs w:val="21"/>
        </w:rPr>
        <w:t>抗磷脂抗体检测的现状及展望</w:t>
      </w:r>
      <w:r>
        <w:rPr>
          <w:rFonts w:ascii="Times New Roman" w:hAnsi="Times New Roman" w:cs="Times New Roman" w:hint="eastAsia"/>
          <w:color w:val="000000"/>
          <w:kern w:val="0"/>
          <w:szCs w:val="21"/>
        </w:rPr>
        <w:t xml:space="preserve">. </w:t>
      </w:r>
      <w:r>
        <w:rPr>
          <w:rFonts w:ascii="Times New Roman" w:hAnsi="Times New Roman" w:cs="Times New Roman" w:hint="eastAsia"/>
          <w:color w:val="000000"/>
          <w:kern w:val="0"/>
          <w:szCs w:val="21"/>
        </w:rPr>
        <w:t>中华检验医学杂志</w:t>
      </w:r>
      <w:r>
        <w:rPr>
          <w:rFonts w:ascii="Times New Roman" w:hAnsi="Times New Roman" w:cs="Times New Roman" w:hint="eastAsia"/>
          <w:color w:val="000000"/>
          <w:kern w:val="0"/>
          <w:szCs w:val="21"/>
        </w:rPr>
        <w:t>, 2014(8): p. 564-566.</w:t>
      </w:r>
      <w:r>
        <w:rPr>
          <w:rFonts w:ascii="Times New Roman" w:hAnsi="Times New Roman" w:cs="Times New Roman"/>
          <w:color w:val="000000"/>
          <w:kern w:val="0"/>
          <w:szCs w:val="21"/>
        </w:rPr>
        <w:t xml:space="preserve"> </w:t>
      </w:r>
    </w:p>
    <w:p w14:paraId="4E730CC0" w14:textId="77777777" w:rsidR="005B791F" w:rsidRDefault="00000000">
      <w:pPr>
        <w:autoSpaceDE w:val="0"/>
        <w:autoSpaceDN w:val="0"/>
        <w:adjustRightIn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31</w:t>
      </w:r>
      <w:r>
        <w:rPr>
          <w:rFonts w:ascii="Times New Roman" w:hAnsi="Times New Roman" w:cs="Times New Roman"/>
          <w:color w:val="000000"/>
          <w:kern w:val="0"/>
          <w:szCs w:val="21"/>
        </w:rPr>
        <w:t>].</w:t>
      </w:r>
      <w:r>
        <w:rPr>
          <w:rFonts w:ascii="Times New Roman" w:hAnsi="Times New Roman" w:cs="Times New Roman"/>
          <w:color w:val="000000"/>
          <w:kern w:val="0"/>
          <w:szCs w:val="21"/>
        </w:rPr>
        <w:tab/>
      </w:r>
      <w:r>
        <w:rPr>
          <w:rFonts w:ascii="Times New Roman" w:hAnsi="Times New Roman" w:cs="Times New Roman" w:hint="eastAsia"/>
          <w:color w:val="000000"/>
          <w:kern w:val="0"/>
          <w:szCs w:val="21"/>
        </w:rPr>
        <w:t>张蜀澜等</w:t>
      </w:r>
      <w:r>
        <w:rPr>
          <w:rFonts w:ascii="Times New Roman" w:hAnsi="Times New Roman" w:cs="Times New Roman" w:hint="eastAsia"/>
          <w:color w:val="000000"/>
          <w:kern w:val="0"/>
          <w:szCs w:val="21"/>
        </w:rPr>
        <w:t xml:space="preserve">, </w:t>
      </w:r>
      <w:r>
        <w:rPr>
          <w:rFonts w:ascii="Times New Roman" w:hAnsi="Times New Roman" w:cs="Times New Roman" w:hint="eastAsia"/>
          <w:color w:val="000000"/>
          <w:kern w:val="0"/>
          <w:szCs w:val="21"/>
        </w:rPr>
        <w:t>抗磷脂抗体谱的临床应用和规范检测</w:t>
      </w:r>
      <w:r>
        <w:rPr>
          <w:rFonts w:ascii="Times New Roman" w:hAnsi="Times New Roman" w:cs="Times New Roman" w:hint="eastAsia"/>
          <w:color w:val="000000"/>
          <w:kern w:val="0"/>
          <w:szCs w:val="21"/>
        </w:rPr>
        <w:t xml:space="preserve">. </w:t>
      </w:r>
      <w:r>
        <w:rPr>
          <w:rFonts w:ascii="Times New Roman" w:hAnsi="Times New Roman" w:cs="Times New Roman" w:hint="eastAsia"/>
          <w:color w:val="000000"/>
          <w:kern w:val="0"/>
          <w:szCs w:val="21"/>
        </w:rPr>
        <w:t>中华检验医学杂志</w:t>
      </w:r>
      <w:r>
        <w:rPr>
          <w:rFonts w:ascii="Times New Roman" w:hAnsi="Times New Roman" w:cs="Times New Roman" w:hint="eastAsia"/>
          <w:color w:val="000000"/>
          <w:kern w:val="0"/>
          <w:szCs w:val="21"/>
        </w:rPr>
        <w:t>, 2015(12): p. 793-796.</w:t>
      </w:r>
      <w:r>
        <w:rPr>
          <w:rFonts w:ascii="Times New Roman" w:hAnsi="Times New Roman" w:cs="Times New Roman"/>
          <w:color w:val="000000"/>
          <w:kern w:val="0"/>
          <w:szCs w:val="21"/>
        </w:rPr>
        <w:t xml:space="preserve"> </w:t>
      </w:r>
    </w:p>
    <w:p w14:paraId="2EBD076E" w14:textId="4C57F898" w:rsidR="005B791F" w:rsidRPr="00352949" w:rsidRDefault="003A7D27">
      <w:pPr>
        <w:spacing w:line="360" w:lineRule="auto"/>
        <w:jc w:val="left"/>
        <w:rPr>
          <w:rFonts w:ascii="Times New Roman" w:eastAsia="宋体" w:hAnsi="Times New Roman" w:cs="Times New Roman"/>
          <w:b/>
          <w:bCs/>
          <w:sz w:val="24"/>
          <w:szCs w:val="24"/>
        </w:rPr>
      </w:pPr>
      <w:r w:rsidRPr="003A7D27">
        <w:rPr>
          <w:rFonts w:ascii="Times New Roman" w:eastAsia="宋体" w:hAnsi="Times New Roman" w:cs="Times New Roman" w:hint="eastAsia"/>
          <w:b/>
          <w:bCs/>
          <w:color w:val="2F5496" w:themeColor="accent1" w:themeShade="BF"/>
          <w:sz w:val="24"/>
          <w:szCs w:val="24"/>
        </w:rPr>
        <w:t>致谢：</w:t>
      </w:r>
      <w:r w:rsidRPr="00F96BC7">
        <w:rPr>
          <w:rFonts w:ascii="Times New Roman" w:eastAsia="宋体" w:hAnsi="Times New Roman" w:cs="Times New Roman"/>
          <w:sz w:val="24"/>
          <w:szCs w:val="24"/>
        </w:rPr>
        <w:t>中央高水平医院临床科研业务费资助（</w:t>
      </w:r>
      <w:r w:rsidRPr="00F96BC7">
        <w:rPr>
          <w:rFonts w:ascii="Times New Roman" w:eastAsia="宋体" w:hAnsi="Times New Roman" w:cs="Times New Roman"/>
          <w:sz w:val="24"/>
          <w:szCs w:val="24"/>
        </w:rPr>
        <w:t>202</w:t>
      </w:r>
      <w:r w:rsidRPr="00F96BC7">
        <w:rPr>
          <w:rFonts w:ascii="Times New Roman" w:eastAsia="宋体" w:hAnsi="Times New Roman" w:cs="Times New Roman" w:hint="eastAsia"/>
          <w:sz w:val="24"/>
          <w:szCs w:val="24"/>
        </w:rPr>
        <w:t>5</w:t>
      </w:r>
      <w:r w:rsidRPr="00F96BC7">
        <w:rPr>
          <w:rFonts w:ascii="Times New Roman" w:eastAsia="宋体" w:hAnsi="Times New Roman" w:cs="Times New Roman"/>
          <w:sz w:val="24"/>
          <w:szCs w:val="24"/>
        </w:rPr>
        <w:t>-PUMCH-</w:t>
      </w:r>
      <w:r w:rsidRPr="00F96BC7">
        <w:rPr>
          <w:rFonts w:ascii="Times New Roman" w:eastAsia="宋体" w:hAnsi="Times New Roman" w:cs="Times New Roman" w:hint="eastAsia"/>
          <w:sz w:val="24"/>
          <w:szCs w:val="24"/>
        </w:rPr>
        <w:t>A</w:t>
      </w:r>
      <w:r w:rsidRPr="00F96BC7">
        <w:rPr>
          <w:rFonts w:ascii="Times New Roman" w:eastAsia="宋体" w:hAnsi="Times New Roman" w:cs="Times New Roman"/>
          <w:sz w:val="24"/>
          <w:szCs w:val="24"/>
        </w:rPr>
        <w:t>-</w:t>
      </w:r>
      <w:r w:rsidRPr="00F96BC7">
        <w:rPr>
          <w:rFonts w:ascii="Times New Roman" w:eastAsia="宋体" w:hAnsi="Times New Roman" w:cs="Times New Roman" w:hint="eastAsia"/>
          <w:sz w:val="24"/>
          <w:szCs w:val="24"/>
        </w:rPr>
        <w:t>087</w:t>
      </w:r>
      <w:r w:rsidRPr="00F96BC7">
        <w:rPr>
          <w:rFonts w:ascii="Times New Roman" w:eastAsia="宋体" w:hAnsi="Times New Roman" w:cs="Times New Roman"/>
          <w:sz w:val="24"/>
          <w:szCs w:val="24"/>
        </w:rPr>
        <w:t>）</w:t>
      </w:r>
      <w:r w:rsidRPr="00F96BC7">
        <w:rPr>
          <w:rFonts w:ascii="Times New Roman" w:eastAsia="宋体" w:hAnsi="Times New Roman" w:cs="Times New Roman" w:hint="eastAsia"/>
          <w:sz w:val="24"/>
          <w:szCs w:val="24"/>
        </w:rPr>
        <w:t>，</w:t>
      </w:r>
      <w:r w:rsidR="004B1579">
        <w:rPr>
          <w:rFonts w:ascii="Times New Roman" w:eastAsia="宋体" w:hAnsi="Times New Roman" w:cs="Times New Roman" w:hint="eastAsia"/>
          <w:sz w:val="24"/>
          <w:szCs w:val="24"/>
        </w:rPr>
        <w:t>北京协和医院</w:t>
      </w:r>
      <w:r w:rsidR="004B1579">
        <w:rPr>
          <w:rFonts w:ascii="Times New Roman" w:eastAsia="宋体" w:hAnsi="Times New Roman" w:cs="Times New Roman" w:hint="eastAsia"/>
          <w:sz w:val="24"/>
          <w:szCs w:val="24"/>
        </w:rPr>
        <w:t>-</w:t>
      </w:r>
      <w:r w:rsidR="009B2209">
        <w:rPr>
          <w:rFonts w:ascii="Times New Roman" w:eastAsia="宋体" w:hAnsi="Times New Roman" w:cs="Times New Roman" w:hint="eastAsia"/>
          <w:sz w:val="24"/>
          <w:szCs w:val="24"/>
        </w:rPr>
        <w:t>协和人才培育支持计划</w:t>
      </w:r>
      <w:r w:rsidR="009B2209">
        <w:rPr>
          <w:rFonts w:ascii="Times New Roman" w:eastAsia="宋体" w:hAnsi="Times New Roman" w:cs="Times New Roman" w:hint="eastAsia"/>
          <w:sz w:val="24"/>
          <w:szCs w:val="24"/>
        </w:rPr>
        <w:t>C</w:t>
      </w:r>
      <w:r w:rsidR="009B2209">
        <w:rPr>
          <w:rFonts w:ascii="Times New Roman" w:eastAsia="宋体" w:hAnsi="Times New Roman" w:cs="Times New Roman" w:hint="eastAsia"/>
          <w:sz w:val="24"/>
          <w:szCs w:val="24"/>
        </w:rPr>
        <w:t>类项目</w:t>
      </w:r>
      <w:r w:rsidRPr="009B2209">
        <w:rPr>
          <w:rFonts w:ascii="Times New Roman" w:eastAsia="宋体" w:hAnsi="Times New Roman" w:cs="Times New Roman" w:hint="eastAsia"/>
          <w:sz w:val="24"/>
          <w:szCs w:val="24"/>
        </w:rPr>
        <w:t>（</w:t>
      </w:r>
      <w:r w:rsidRPr="009B2209">
        <w:rPr>
          <w:rFonts w:ascii="Times New Roman" w:eastAsia="宋体" w:hAnsi="Times New Roman" w:cs="Times New Roman" w:hint="eastAsia"/>
          <w:sz w:val="24"/>
          <w:szCs w:val="24"/>
        </w:rPr>
        <w:t>UBJ06102</w:t>
      </w:r>
      <w:r w:rsidRPr="009B2209">
        <w:rPr>
          <w:rFonts w:ascii="Times New Roman" w:eastAsia="宋体" w:hAnsi="Times New Roman" w:cs="Times New Roman" w:hint="eastAsia"/>
          <w:sz w:val="24"/>
          <w:szCs w:val="24"/>
        </w:rPr>
        <w:t>）</w:t>
      </w:r>
      <w:r w:rsidRPr="00F96BC7">
        <w:rPr>
          <w:rFonts w:ascii="Times New Roman" w:eastAsia="宋体" w:hAnsi="Times New Roman" w:cs="Times New Roman" w:hint="eastAsia"/>
          <w:sz w:val="24"/>
          <w:szCs w:val="24"/>
        </w:rPr>
        <w:t>，</w:t>
      </w:r>
      <w:r w:rsidRPr="00F96BC7">
        <w:rPr>
          <w:rFonts w:ascii="Times New Roman" w:eastAsia="宋体" w:hAnsi="Times New Roman" w:cs="Times New Roman"/>
          <w:sz w:val="24"/>
          <w:szCs w:val="24"/>
        </w:rPr>
        <w:t>国家自然科学基金资</w:t>
      </w:r>
      <w:r w:rsidRPr="00F96BC7">
        <w:rPr>
          <w:rFonts w:ascii="Times New Roman" w:eastAsia="宋体" w:hAnsi="Times New Roman" w:cs="Times New Roman"/>
          <w:sz w:val="24"/>
          <w:szCs w:val="24"/>
        </w:rPr>
        <w:lastRenderedPageBreak/>
        <w:t>助项目（</w:t>
      </w:r>
      <w:r w:rsidRPr="00F96BC7">
        <w:rPr>
          <w:rFonts w:ascii="Times New Roman" w:eastAsia="宋体" w:hAnsi="Times New Roman" w:cs="Times New Roman"/>
          <w:sz w:val="24"/>
          <w:szCs w:val="24"/>
        </w:rPr>
        <w:t>8</w:t>
      </w:r>
      <w:r w:rsidRPr="00F96BC7">
        <w:rPr>
          <w:rFonts w:ascii="Times New Roman" w:eastAsia="宋体" w:hAnsi="Times New Roman" w:cs="Times New Roman" w:hint="eastAsia"/>
          <w:sz w:val="24"/>
          <w:szCs w:val="24"/>
        </w:rPr>
        <w:t>2472348</w:t>
      </w:r>
      <w:r w:rsidRPr="00F96BC7">
        <w:rPr>
          <w:rFonts w:ascii="Times New Roman" w:eastAsia="宋体" w:hAnsi="Times New Roman" w:cs="Times New Roman"/>
          <w:sz w:val="24"/>
          <w:szCs w:val="24"/>
        </w:rPr>
        <w:t>）</w:t>
      </w:r>
      <w:r w:rsidR="009B2209">
        <w:rPr>
          <w:rFonts w:ascii="Times New Roman" w:eastAsia="宋体" w:hAnsi="Times New Roman" w:cs="Times New Roman" w:hint="eastAsia"/>
          <w:sz w:val="24"/>
          <w:szCs w:val="24"/>
        </w:rPr>
        <w:t>，国家重点研发计划</w:t>
      </w:r>
      <w:r w:rsidR="009B2209" w:rsidRPr="009B2209">
        <w:rPr>
          <w:rFonts w:ascii="Times New Roman" w:eastAsia="宋体" w:hAnsi="Times New Roman" w:cs="Times New Roman" w:hint="eastAsia"/>
          <w:sz w:val="24"/>
          <w:szCs w:val="24"/>
        </w:rPr>
        <w:t>（</w:t>
      </w:r>
      <w:r w:rsidR="009B2209" w:rsidRPr="00741C70">
        <w:rPr>
          <w:rFonts w:ascii="Times New Roman" w:hAnsi="Times New Roman" w:cs="Times New Roman"/>
          <w:sz w:val="24"/>
          <w:szCs w:val="24"/>
        </w:rPr>
        <w:t>2024YFA1307604</w:t>
      </w:r>
      <w:r w:rsidR="009B2209" w:rsidRPr="009B2209">
        <w:rPr>
          <w:rFonts w:ascii="Times New Roman" w:eastAsia="宋体" w:hAnsi="Times New Roman" w:cs="Times New Roman" w:hint="eastAsia"/>
          <w:sz w:val="24"/>
          <w:szCs w:val="24"/>
        </w:rPr>
        <w:t>）</w:t>
      </w:r>
      <w:r w:rsidR="009B2209">
        <w:rPr>
          <w:rFonts w:ascii="Times New Roman" w:eastAsia="宋体" w:hAnsi="Times New Roman" w:cs="Times New Roman" w:hint="eastAsia"/>
          <w:sz w:val="24"/>
          <w:szCs w:val="24"/>
        </w:rPr>
        <w:t>，</w:t>
      </w:r>
      <w:r w:rsidR="00A938B2" w:rsidRPr="00352949">
        <w:rPr>
          <w:rFonts w:ascii="Times New Roman" w:eastAsia="宋体" w:hAnsi="Times New Roman" w:cs="Times New Roman" w:hint="eastAsia"/>
          <w:sz w:val="24"/>
          <w:szCs w:val="24"/>
        </w:rPr>
        <w:t>“四大慢病”国家科技重大项目</w:t>
      </w:r>
      <w:r w:rsidR="009B2209" w:rsidRPr="00352949">
        <w:rPr>
          <w:rFonts w:ascii="Times New Roman" w:eastAsia="宋体" w:hAnsi="Times New Roman" w:cs="Times New Roman" w:hint="eastAsia"/>
          <w:sz w:val="24"/>
          <w:szCs w:val="24"/>
        </w:rPr>
        <w:t>（</w:t>
      </w:r>
      <w:r w:rsidR="009B2209" w:rsidRPr="00352949">
        <w:rPr>
          <w:rFonts w:ascii="Times New Roman" w:hAnsi="Times New Roman" w:cs="Times New Roman"/>
          <w:sz w:val="24"/>
          <w:szCs w:val="24"/>
        </w:rPr>
        <w:t>202</w:t>
      </w:r>
      <w:r w:rsidR="009B2209" w:rsidRPr="00352949">
        <w:rPr>
          <w:rFonts w:ascii="Times New Roman" w:hAnsi="Times New Roman" w:cs="Times New Roman" w:hint="eastAsia"/>
          <w:sz w:val="24"/>
          <w:szCs w:val="24"/>
        </w:rPr>
        <w:t>5ZD0551304</w:t>
      </w:r>
      <w:r w:rsidR="009B2209" w:rsidRPr="00352949">
        <w:rPr>
          <w:rFonts w:ascii="Times New Roman" w:eastAsia="宋体" w:hAnsi="Times New Roman" w:cs="Times New Roman" w:hint="eastAsia"/>
          <w:sz w:val="24"/>
          <w:szCs w:val="24"/>
        </w:rPr>
        <w:t>）。</w:t>
      </w:r>
    </w:p>
    <w:p w14:paraId="24D2CD19" w14:textId="77777777" w:rsidR="005B791F" w:rsidRPr="00352949" w:rsidRDefault="005B791F">
      <w:pPr>
        <w:spacing w:line="360" w:lineRule="auto"/>
        <w:jc w:val="left"/>
        <w:rPr>
          <w:rFonts w:ascii="Times New Roman" w:eastAsia="宋体" w:hAnsi="Times New Roman" w:cs="Times New Roman"/>
          <w:sz w:val="28"/>
          <w:szCs w:val="28"/>
          <w:highlight w:val="yellow"/>
        </w:rPr>
      </w:pPr>
    </w:p>
    <w:p w14:paraId="4612EC28" w14:textId="77777777" w:rsidR="005B791F" w:rsidRDefault="005B791F">
      <w:pPr>
        <w:spacing w:line="360" w:lineRule="auto"/>
        <w:jc w:val="left"/>
        <w:rPr>
          <w:rFonts w:ascii="Times New Roman" w:eastAsia="宋体" w:hAnsi="Times New Roman" w:cs="Times New Roman"/>
          <w:sz w:val="28"/>
          <w:szCs w:val="28"/>
          <w:highlight w:val="yellow"/>
        </w:rPr>
      </w:pPr>
    </w:p>
    <w:p w14:paraId="5EFA9D96" w14:textId="77777777" w:rsidR="005B791F" w:rsidRPr="009B2209" w:rsidRDefault="005B791F">
      <w:pPr>
        <w:spacing w:line="360" w:lineRule="auto"/>
        <w:jc w:val="left"/>
        <w:rPr>
          <w:rFonts w:ascii="Times New Roman" w:eastAsia="宋体" w:hAnsi="Times New Roman" w:cs="Times New Roman"/>
          <w:sz w:val="28"/>
          <w:szCs w:val="28"/>
          <w:highlight w:val="yellow"/>
        </w:rPr>
      </w:pPr>
    </w:p>
    <w:p w14:paraId="681C7CAC" w14:textId="77777777" w:rsidR="005B791F" w:rsidRDefault="005B791F">
      <w:pPr>
        <w:spacing w:line="360" w:lineRule="auto"/>
        <w:jc w:val="left"/>
        <w:rPr>
          <w:rFonts w:ascii="Times New Roman" w:eastAsia="宋体" w:hAnsi="Times New Roman" w:cs="Times New Roman"/>
          <w:sz w:val="28"/>
          <w:szCs w:val="28"/>
          <w:highlight w:val="yellow"/>
        </w:rPr>
      </w:pPr>
    </w:p>
    <w:sectPr w:rsidR="005B791F" w:rsidSect="006A51E1">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BF86" w14:textId="77777777" w:rsidR="0035275F" w:rsidRDefault="0035275F">
      <w:pPr>
        <w:rPr>
          <w:rFonts w:hint="eastAsia"/>
        </w:rPr>
      </w:pPr>
      <w:r>
        <w:separator/>
      </w:r>
    </w:p>
  </w:endnote>
  <w:endnote w:type="continuationSeparator" w:id="0">
    <w:p w14:paraId="78D964DB" w14:textId="77777777" w:rsidR="0035275F" w:rsidRDefault="0035275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DE57" w14:textId="7BD13053" w:rsidR="005C2875" w:rsidRDefault="005C2875" w:rsidP="00523776">
    <w:pPr>
      <w:pStyle w:val="a4"/>
      <w:jc w:val="center"/>
      <w:rPr>
        <w:rFonts w:hint="eastAsia"/>
      </w:rPr>
    </w:pPr>
  </w:p>
  <w:p w14:paraId="78601006" w14:textId="77777777" w:rsidR="00B45490" w:rsidRDefault="00B45490">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231297"/>
      <w:docPartObj>
        <w:docPartGallery w:val="Page Numbers (Bottom of Page)"/>
        <w:docPartUnique/>
      </w:docPartObj>
    </w:sdtPr>
    <w:sdtContent>
      <w:p w14:paraId="2CA3D3C8" w14:textId="4F992F7E" w:rsidR="00A9423D" w:rsidRDefault="00A9423D">
        <w:pPr>
          <w:pStyle w:val="a4"/>
          <w:jc w:val="center"/>
          <w:rPr>
            <w:rFonts w:hint="eastAsia"/>
          </w:rPr>
        </w:pPr>
        <w:r>
          <w:fldChar w:fldCharType="begin"/>
        </w:r>
        <w:r>
          <w:instrText>PAGE   \* MERGEFORMAT</w:instrText>
        </w:r>
        <w:r>
          <w:fldChar w:fldCharType="separate"/>
        </w:r>
        <w:r>
          <w:rPr>
            <w:lang w:val="zh-CN"/>
          </w:rPr>
          <w:t>2</w:t>
        </w:r>
        <w:r>
          <w:fldChar w:fldCharType="end"/>
        </w:r>
      </w:p>
    </w:sdtContent>
  </w:sdt>
  <w:p w14:paraId="00C853F3" w14:textId="42B802E1" w:rsidR="00523776" w:rsidRDefault="00523776">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B0F1" w14:textId="77777777" w:rsidR="0035275F" w:rsidRDefault="0035275F">
      <w:pPr>
        <w:rPr>
          <w:rFonts w:hint="eastAsia"/>
        </w:rPr>
      </w:pPr>
      <w:r>
        <w:separator/>
      </w:r>
    </w:p>
  </w:footnote>
  <w:footnote w:type="continuationSeparator" w:id="0">
    <w:p w14:paraId="4D70CC9A" w14:textId="77777777" w:rsidR="0035275F" w:rsidRDefault="0035275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2178" w14:textId="586A0A74" w:rsidR="00B45490" w:rsidRDefault="00B45490" w:rsidP="00B45490">
    <w:pPr>
      <w:pStyle w:val="a6"/>
      <w:jc w:val="right"/>
      <w:rPr>
        <w:rFonts w:hint="eastAsia"/>
      </w:rPr>
    </w:pPr>
    <w:r>
      <w:rPr>
        <w:rFonts w:ascii="Times New Roman" w:eastAsia="黑体" w:hAnsi="Times New Roman" w:cs="Times New Roman"/>
        <w:sz w:val="22"/>
        <w:szCs w:val="28"/>
      </w:rPr>
      <w:t>T/BJYXH XXXX-XXXX</w:t>
    </w:r>
  </w:p>
  <w:p w14:paraId="1632E897" w14:textId="77777777" w:rsidR="00B45490" w:rsidRDefault="00B45490">
    <w:pPr>
      <w:pStyle w:val="a6"/>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5CFC" w14:textId="77777777" w:rsidR="00523776" w:rsidRDefault="00523776" w:rsidP="00B45490">
    <w:pPr>
      <w:pStyle w:val="a6"/>
      <w:jc w:val="right"/>
      <w:rPr>
        <w:rFonts w:hint="eastAsia"/>
      </w:rPr>
    </w:pPr>
    <w:r>
      <w:rPr>
        <w:rFonts w:ascii="Times New Roman" w:eastAsia="黑体" w:hAnsi="Times New Roman" w:cs="Times New Roman"/>
        <w:sz w:val="22"/>
        <w:szCs w:val="28"/>
      </w:rPr>
      <w:t>T/BJYXH XXXX-XXXX</w:t>
    </w:r>
  </w:p>
  <w:p w14:paraId="32C81D2B" w14:textId="77777777" w:rsidR="00523776" w:rsidRDefault="00523776">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B4F"/>
    <w:multiLevelType w:val="hybridMultilevel"/>
    <w:tmpl w:val="099C1BB6"/>
    <w:lvl w:ilvl="0" w:tplc="CE8C4574">
      <w:start w:val="5"/>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7FE738B"/>
    <w:multiLevelType w:val="multilevel"/>
    <w:tmpl w:val="27FE738B"/>
    <w:lvl w:ilvl="0">
      <w:start w:val="5"/>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045E5F"/>
    <w:multiLevelType w:val="multilevel"/>
    <w:tmpl w:val="28045E5F"/>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BC11433"/>
    <w:multiLevelType w:val="multilevel"/>
    <w:tmpl w:val="6BC11433"/>
    <w:lvl w:ilvl="0">
      <w:start w:val="8"/>
      <w:numFmt w:val="decimal"/>
      <w:lvlText w:val="%1"/>
      <w:lvlJc w:val="left"/>
      <w:pPr>
        <w:ind w:left="383" w:hanging="383"/>
      </w:pPr>
      <w:rPr>
        <w:rFonts w:hint="default"/>
      </w:rPr>
    </w:lvl>
    <w:lvl w:ilvl="1">
      <w:start w:val="2"/>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16099186">
    <w:abstractNumId w:val="1"/>
  </w:num>
  <w:num w:numId="2" w16cid:durableId="1180001949">
    <w:abstractNumId w:val="3"/>
  </w:num>
  <w:num w:numId="3" w16cid:durableId="693532767">
    <w:abstractNumId w:val="2"/>
  </w:num>
  <w:num w:numId="4" w16cid:durableId="202034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Ref{2AE7B6FE-63A7-4108-9606-159A84B5D891}" w:val=" ADDIN NE.Ref.{2AE7B6FE-63A7-4108-9606-159A84B5D891}&lt;Citation&gt;&lt;Group&gt;&lt;References&gt;&lt;Item&gt;&lt;ID&gt;3049&lt;/ID&gt;&lt;UID&gt;{EAA570CC-8571-4FEE-8C98-0B639A35CE44}&lt;/UID&gt;&lt;Title&gt;Evaluation of the anti-cardiolipin antibody test: report of an international workshop held 4 April 1986&lt;/Title&gt;&lt;Template&gt;Journal Article&lt;/Template&gt;&lt;Star&gt;1&lt;/Star&gt;&lt;Tag&gt;0&lt;/Tag&gt;&lt;Author&gt;HARRIS, E N; GHARAVI, A E; PATEL, S P; HUGHES, G R V&lt;/Author&gt;&lt;Year&gt;1987&lt;/Year&gt;&lt;Details&gt;&lt;_accessed&gt;66129031&lt;/_accessed&gt;&lt;_collection_scope&gt;SCIE&lt;/_collection_scope&gt;&lt;_created&gt;66127556&lt;/_created&gt;&lt;_date&gt;45757440&lt;/_date&gt;&lt;_date_display&gt;1987&lt;/_date_display&gt;&lt;_db_updated&gt;PKU Search&lt;/_db_updated&gt;&lt;_impact_factor&gt;   5.732&lt;/_impact_factor&gt;&lt;_isbn&gt;0009-9104&lt;/_isbn&gt;&lt;_issue&gt;1&lt;/_issue&gt;&lt;_journal&gt;Clinical and experimental immunology&lt;/_journal&gt;&lt;_keywords&gt;Autoantibodies - analysis; Biological and medical sciences; Cardiolipins - immunology; Enzyme-Linked Immunosorbent Assay; Hematology; Humans; Immunoglobulin G - analysis; Immunoglobulin M - analysis; Indicators and Reagents; International Cooperation; Investigative techniques, diagnostic techniques (general aspects); Medical sciences; Pathology. Cytology. Biochemistry. Spectrometry. Miscellaneous investigative techniques; Radioimmunoassay - standards; Reference Values&lt;/_keywords&gt;&lt;_modified&gt;66127589&lt;/_modified&gt;&lt;_number&gt;1&lt;/_number&gt;&lt;_ori_publication&gt;Blackwell&lt;/_ori_publication&gt;&lt;_pages&gt;215-222&lt;/_pages&gt;&lt;_place_published&gt;Oxford&lt;/_place_published&gt;&lt;_social_category&gt;免疫学(3)&lt;/_social_category&gt;&lt;_url&gt;https://go.exlibris.link/j6lmgsz3&lt;/_url&gt;&lt;_volume&gt;68&lt;/_volume&gt;&lt;/Details&gt;&lt;Extra&gt;&lt;DBUID&gt;{F96A950B-833F-4880-A151-76DA2D6A2879}&lt;/DBUID&gt;&lt;/Extra&gt;&lt;/Item&gt;&lt;/References&gt;&lt;/Group&gt;&lt;/Citation&gt;_x000a_"/>
    <w:docVar w:name="NE.Ref{381037F6-979A-483D-B45D-5F454161D697}" w:val=" ADDIN NE.Ref.{381037F6-979A-483D-B45D-5F454161D697}&lt;Citation&gt;&lt;Group&gt;&lt;References&gt;&lt;Item&gt;&lt;ID&gt;3055&lt;/ID&gt;&lt;UID&gt;{19EBD34F-EFE3-44E6-AEC9-575C4768DCCF}&lt;/UID&gt;&lt;Title&gt;2023 ACR/EULAR antiphospholipid syndrome classification criteria&lt;/Title&gt;&lt;Template&gt;Journal Article&lt;/Template&gt;&lt;Star&gt;1&lt;/Star&gt;&lt;Tag&gt;5&lt;/Tag&gt;&lt;Author&gt;Barbhaiya, Medha; Zuily, Stephane; Naden, Ray; Hendry, Alison; Manneville, Florian; Amigo, Mary-Carmen; Amoura, Zahir; Andrade, Danieli; Andreoli, Laura; Artim-Esen, Bahar; Atsumi, Tatsuya; Avcin, Tadej; Belmont, Michael H; Bertolaccini, Maria Laura; Branch, D Ware; Carvalheiras, Graziela; Casini, Alessandro; Cervera, Ricard; Cohen, Hannah; Costedoat-Chalumeau, Nathalie; Crowther, Mark; de Jesús, Guilherme; Delluc, Aurelien; Desai, Sheetal; Sancho, Maria De; Devreese, Katrien M; Diz-Kucukkaya, Reyhan; Duarte-García, Ali; Frances, Camille; Garcia, David; Gris, Jean-Christophe; Jordan, Natasha; Leaf, Rebecca K; Kello, Nina; Knight, Jason S; Laskin, Carl; Lee, Alfred I; Legault, Kimberly; Levine, Steve R; Levy, Roger A; Limper, Maarten; Lockshin, Michael D; Mayer-Pickel, Karoline; Musial, Jack; Meroni, Pier Luigi; Orsolini, Giovanni; Ortel, Thomas L; Pengo, Vittorio; Petri, Michelle; Pons-Estel, Guillermo; Gomez-Puerta, Jose A; Raimboug, Quentin; Roubey, Robert; Sanna, Giovanni; Seshan, Surya V; Sciascia, Savino; Tektonidou, Maria G; Tincani, Angela; Wahl, Denis; Willis, Rohan; Yelnik, Cécile; Zuily, Catherine; Guillemin, Francis; Costenbader, Karen; Erkan, Doruk; Agmon-Levin, Nancy; Aguilar, Cassyanne; Alba, Paula; Alpan, Oral; Ambrozic, Ales; Andrade, Luis; Appenzeller, Simone; Berkun, Yackov; Cabral, Antonio; Canaud, Guillame; Chen, Pojen; Chighizola, Cecilia; Cimaz, Rolando; Cuadrado, Maria Jose; Groot, Philip G De; Moerloose, Philippe De; Derksen, Ronald; Dörner, Thomas; Fortin, Paul; Giannakopoulos, Bill; Gonzalez, Emilio B; Inanc, Murat; Kenet, Gili; Khamashta, Munther; Kriegel, Martin; Krilis, Steven; Ladha, Danyal; Massicotte, Patti; McCarty, Gale; Mikdashi, Jamal; Myones, Barry; Sammaritano, Lisa; Signorelli, Flavio; Soybilgic, Arzu; Woller, Scott; Zuo, Ray&lt;/Author&gt;&lt;Year&gt;2023&lt;/Year&gt;&lt;Details&gt;&lt;_alternate_title&gt;Annals of the Rheumatic Diseases&lt;/_alternate_title&gt;&lt;_date_display&gt;2023&lt;/_date_display&gt;&lt;_date&gt;2023-01-01&lt;/_date&gt;&lt;_doi&gt;https://doi.org/10.1136/ard-2023-224609&lt;/_doi&gt;&lt;_isbn&gt;0003-4967&lt;/_isbn&gt;&lt;_issue&gt;10&lt;/_issue&gt;&lt;_journal&gt;Annals of the Rheumatic Diseases&lt;/_journal&gt;&lt;_keywords&gt;antiphospholipid syndrome; thrombosis; antibodies; antiphospholipid&lt;/_keywords&gt;&lt;_pages&gt;1258-1270&lt;/_pages&gt;&lt;_url&gt;https://www.sciencedirect.com/science/article/pii/S0003496724102907&lt;/_url&gt;&lt;_volume&gt;82&lt;/_volume&gt;&lt;_created&gt;66129016&lt;/_created&gt;&lt;_modified&gt;66129016&lt;/_modified&gt;&lt;_impact_factor&gt;  27.973&lt;/_impact_factor&gt;&lt;_social_category&gt;风湿病学(1)&lt;/_social_category&gt;&lt;_collection_scope&gt;SCIE&lt;/_collection_scope&gt;&lt;/Details&gt;&lt;Extra&gt;&lt;DBUID&gt;{F96A950B-833F-4880-A151-76DA2D6A2879}&lt;/DBUID&gt;&lt;/Extra&gt;&lt;/Item&gt;&lt;/References&gt;&lt;/Group&gt;&lt;/Citation&gt;_x000a_"/>
    <w:docVar w:name="NE.Ref{4DD5B60E-1764-4711-AEE7-75F2F4CD362B}" w:val=" ADDIN NE.Ref.{4DD5B60E-1764-4711-AEE7-75F2F4CD362B}&lt;Citation&gt;&lt;Group&gt;&lt;References&gt;&lt;Item&gt;&lt;ID&gt;3054&lt;/ID&gt;&lt;UID&gt;{DAB69B94-CEE8-404A-902F-F8E5A39D0116}&lt;/UID&gt;&lt;Title&gt;International consensus guidelines on anticardiolipin and anti-β2-glycoprotein I  testing: report from the 13th International Congress on Antiphospholipid  Antibodies&lt;/Title&gt;&lt;Template&gt;Journal Article&lt;/Template&gt;&lt;Star&gt;1&lt;/Star&gt;&lt;Tag&gt;5&lt;/Tag&gt;&lt;Author&gt;Lakos, G; Favaloro, E J; Harris, E N; Meroni, P L; Tincani, A; Wong, R C; Pierangeli, S S&lt;/Author&gt;&lt;Year&gt;2012&lt;/Year&gt;&lt;Details&gt;&lt;_accession_num&gt;21953634&lt;/_accession_num&gt;&lt;_author_adr&gt;Inova Diagnostics, San Diego, California, USA.&lt;/_author_adr&gt;&lt;_date_display&gt;2012 Jan&lt;/_date_display&gt;&lt;_date&gt;2012-01-01&lt;/_date&gt;&lt;_doi&gt;10.1002/art.33349&lt;/_doi&gt;&lt;_isbn&gt;1529-0131 (Electronic); 0004-3591 (Linking)&lt;/_isbn&gt;&lt;_issue&gt;1&lt;/_issue&gt;&lt;_journal&gt;Arthritis Rheum&lt;/_journal&gt;&lt;_language&gt;eng&lt;/_language&gt;&lt;_pages&gt;1-10&lt;/_pages&gt;&lt;_subject_headings&gt;Advisory Committees; Antibodies, Anticardiolipin/*blood; Antibodies, Antiphospholipid/*analysis/immunology; Antiphospholipid Syndrome/*diagnosis/immunology; Diagnostic Tests, Routine/methods/*standards; *Guidelines as Topic; Humans; beta 2-Glycoprotein I/*blood&lt;/_subject_headings&gt;&lt;_tertiary_title&gt;Arthritis and rheumatism&lt;/_tertiary_title&gt;&lt;_type_work&gt;Consensus Development Conference; Journal Article&lt;/_type_work&gt;&lt;_url&gt;http://www.ncbi.nlm.nih.gov/entrez/query.fcgi?cmd=Retrieve&amp;amp;db=pubmed&amp;amp;dopt=Abstract&amp;amp;list_uids=21953634&amp;amp;query_hl=1&lt;/_url&gt;&lt;_volume&gt;64&lt;/_volume&gt;&lt;_created&gt;66129012&lt;/_created&gt;&lt;_modified&gt;66129012&lt;/_modified&gt;&lt;/Details&gt;&lt;Extra&gt;&lt;DBUID&gt;{F96A950B-833F-4880-A151-76DA2D6A2879}&lt;/DBUID&gt;&lt;/Extra&gt;&lt;/Item&gt;&lt;/References&gt;&lt;/Group&gt;&lt;Group&gt;&lt;References&gt;&lt;Item&gt;&lt;ID&gt;2270&lt;/ID&gt;&lt;UID&gt;{4156EA96-7531-4EF9-B358-C91AB71AEC9F}&lt;/UID&gt;&lt;Title&gt;Testing for Antiphospholipid antibodies with Solid Phase Assays: guidance from the SSC of the ISTH&lt;/Title&gt;&lt;Template&gt;Journal Article&lt;/Template&gt;&lt;Star&gt;1&lt;/Star&gt;&lt;Tag&gt;5&lt;/Tag&gt;&lt;Author&gt;Devreese, K M J; Pierangeli, S S; de Laat, B; Tripodi, A; Atsumi, T; Ortel, T L&lt;/Author&gt;&lt;Year&gt;2014&lt;/Year&gt;&lt;Details&gt;&lt;_accessed&gt;65682161&lt;/_accessed&gt;&lt;_collection_scope&gt;SCIE&lt;/_collection_scope&gt;&lt;_created&gt;65682161&lt;/_created&gt;&lt;_db_updated&gt;CrossRef&lt;/_db_updated&gt;&lt;_doi&gt;10.1111/jth.12537&lt;/_doi&gt;&lt;_impact_factor&gt;  16.036&lt;/_impact_factor&gt;&lt;_isbn&gt;15387836&lt;/_isbn&gt;&lt;_issue&gt;5&lt;/_issue&gt;&lt;_journal&gt;Journal of Thrombosis and Haemostasis&lt;/_journal&gt;&lt;_modified&gt;65682164&lt;/_modified&gt;&lt;_pages&gt;792-795&lt;/_pages&gt;&lt;_social_category&gt;血液学(2) &amp;amp; 外周血管病(2)&lt;/_social_category&gt;&lt;_tertiary_title&gt;Journal of Thrombosis and Haemostasis&lt;/_tertiary_title&gt;&lt;_url&gt;https://linkinghub.elsevier.com/retrieve/pii/S1538783622039277_x000d__x000a_https://dul.usage.elsevier.com/doi/&lt;/_url&gt;&lt;_volume&gt;12&lt;/_volume&gt;&lt;/Details&gt;&lt;Extra&gt;&lt;DBUID&gt;{F96A950B-833F-4880-A151-76DA2D6A2879}&lt;/DBUID&gt;&lt;/Extra&gt;&lt;/Item&gt;&lt;/References&gt;&lt;/Group&gt;&lt;/Citation&gt;_x000a_"/>
    <w:docVar w:name="NE.Ref{90BBAF28-8950-4CA7-AE9E-22E54F60F152}" w:val=" ADDIN NE.Ref.{90BBAF28-8950-4CA7-AE9E-22E54F60F152}&lt;Citation&gt;&lt;Group&gt;&lt;References&gt;&lt;Item&gt;&lt;ID&gt;3058&lt;/ID&gt;&lt;UID&gt;{753F36F0-1091-4D5C-915B-FA2D4C0F6C25}&lt;/UID&gt;&lt;Title&gt;An update on laboratory detection and interpretation of antiphospholipid  antibodies for diagnosis of antiphospholipid syndrome: guidance from the ISTH-SSC  Subcommittee on Lupus Anticoagulant/Antiphospholipid Antibodies&lt;/Title&gt;&lt;Template&gt;Journal Article&lt;/Template&gt;&lt;Star&gt;1&lt;/Star&gt;&lt;Tag&gt;0&lt;/Tag&gt;&lt;Author&gt;Devreese, KMJ; Bertolaccini, M L; Branch, D W; de Laat, B; Erkan, D; Favaloro, E J; Pengo, V; Ortel, T L; Wahl, D; Cohen, H&lt;/Author&gt;&lt;Year&gt;2025&lt;/Year&gt;&lt;Details&gt;&lt;_accession_num&gt;39510414&lt;/_accession_num&gt;&lt;_author_adr&gt;Coagulation Laboratory, Department of Laboratory Medicine, Ghent University  Hospital, Department of Diagnostic Sciences, Ghent University, Ghent, Belgium.  Electronic address: Katrien.devreese@ugent.be.; Academic Department of Vascular Surgery, School of Cardiovascular and Metabolic  Medicine &amp;amp; Sciences, King&amp;apos;s College London, London, United Kingdom.; Department of Obstetrics and Gynecology, University of Utah, Salt Lake City,  Utah, USA.; Synapse Research Institute, Maastricht, the Netherlands.; Barbara Volcker Center for Women and Rheumatic Diseases, Hospital for Special  Surgery, Weill Cornell Medicine, New York, New York, USA.; Department of Haematology, Sydney Centres for Thrombosis and Haemostasis,  Institute of Clinical Pathology and Medical Research, NSW Health Pathology,  Westmead Hospital, Westmead, New South Wales, Australia.; Thrombosis Research Laboratory, Department of Cardio-Thoracic-Vascular Sciences  and Public Health, University of Padova, Padova, Italy.; Division of Hematology, Departments of Medicine and Pathology, Duke University  School of Medicine, Durham, North Carolina, USA.; Vascular Medicine Department, Reference Center for Rare Systemic Autoimmune and  Autoinflammatory Diseases, Nancy University Hospital, Institut national de la  santé et de la recherche médicale, University of Lorraine, Nancy, France.; Department of Haematology, Cancer Institute, University College London, London,  United Kingdom; Department of Haematology, University College London Hospitals  NHS Foundation Trust, London, United Kingdom.&lt;/_author_adr&gt;&lt;_date_display&gt;2025 Feb&lt;/_date_display&gt;&lt;_date&gt;2025-02-01&lt;/_date&gt;&lt;_doi&gt;10.1016/j.jtha.2024.10.022&lt;/_doi&gt;&lt;_isbn&gt;1538-7836 (Electronic); 1538-7836 (Linking)&lt;/_isbn&gt;&lt;_issue&gt;2&lt;/_issue&gt;&lt;_journal&gt;J Thromb Haemost&lt;/_journal&gt;&lt;_keywords&gt;anti-β2-glycoprotein I; anticardiolipin; antiphospholipid syndrome; diagnosis; lupus anticoagulant&lt;/_keywords&gt;&lt;_language&gt;eng&lt;/_language&gt;&lt;_ori_publication&gt;Copyright © 2024 International Society on Thrombosis and Haemostasis. Published _x000d__x000a_      by Elsevier Inc. All rights reserved.&lt;/_ori_publication&gt;&lt;_pages&gt;731-744&lt;/_pages&gt;&lt;_subject_headings&gt;Humans; *Antiphospholipid Syndrome/diagnosis/blood/immunology; *Lupus Coagulation Inhibitor/blood; *Antibodies, Antiphospholipid/blood; Biomarkers/blood; Predictive Value of Tests; Antibodies, Anticardiolipin/blood; beta 2-Glycoprotein I/immunology; Enzyme-Linked Immunosorbent Assay/standards; Consensus; Reproducibility of Results&lt;/_subject_headings&gt;&lt;_tertiary_title&gt;Journal of thrombosis and haemostasis : JTH&lt;/_tertiary_title&gt;&lt;_type_work&gt;Journal Article; Practice Guideline; Review&lt;/_type_work&gt;&lt;_url&gt;http://www.ncbi.nlm.nih.gov/entrez/query.fcgi?cmd=Retrieve&amp;amp;db=pubmed&amp;amp;dopt=Abstract&amp;amp;list_uids=39510414&amp;amp;query_hl=1&lt;/_url&gt;&lt;_volume&gt;23&lt;/_volume&gt;&lt;_created&gt;66129026&lt;/_created&gt;&lt;_modified&gt;66129026&lt;/_modified&gt;&lt;_impact_factor&gt;  16.036&lt;/_impact_factor&gt;&lt;_social_category&gt;血液学(2) &amp;amp; 外周血管病(2)&lt;/_social_category&gt;&lt;_collection_scope&gt;SCIE&lt;/_collection_scope&gt;&lt;/Details&gt;&lt;Extra&gt;&lt;DBUID&gt;{F96A950B-833F-4880-A151-76DA2D6A2879}&lt;/DBUID&gt;&lt;/Extra&gt;&lt;/Item&gt;&lt;/References&gt;&lt;/Group&gt;&lt;Group&gt;&lt;References&gt;&lt;Item&gt;&lt;ID&gt;3059&lt;/ID&gt;&lt;UID&gt;{EF4E0235-802B-46C4-9722-9F08C499AFCD}&lt;/UID&gt;&lt;Title&gt;2023 American College of Rheumatology/European League Against Rheumatism antiphospholipid syndrome classification criteria solid phase&amp;amp;#x2013;based antiphospholipid antibody domain&amp;amp;#x2014;collaborative efforts of Antiphospholipid Syndrome Alliance for Clinical Trials and International Networking and ISTH SSC to harmonize enzyme-linked immunosorbent assay and non&amp;amp;#x2013;enzyme-linked immunosorbent assay&amp;amp;#xa0;antiphospholipid antibody tests: communication from the ISTH SSC Subcommittee on Lupus Anticoagulant/Antiphospholipid Antibodies&lt;/Title&gt;&lt;Template&gt;Journal Article&lt;/Template&gt;&lt;Star&gt;1&lt;/Star&gt;&lt;Tag&gt;0&lt;/Tag&gt;&lt;Author&gt;Meroni, Pier Luigi; Borghi, Maria Orietta; Amengual, Olga; Atsumi, Tatsuyaa; Bertolaccini, Maria Laura; Cohen, Hannah; Grossi, Claudia; Roubey, Robert; Sciascia, Savino; Tebo, Anne; Willis, Rohan; Erkan, Doruk; Devreese, Katrien M J&lt;/Author&gt;&lt;Year&gt;2025&lt;/Year&gt;&lt;Details&gt;&lt;_alternate_title&gt;Journal of Thrombosis and Haemostasis&lt;/_alternate_title&gt;&lt;_date_display&gt;2025_x000d__x000a_2025/01/01&lt;/_date_display&gt;&lt;_date&gt;2025-01-01&lt;/_date&gt;&lt;_doi&gt;10.1016/j.jtha.2024.09.021&lt;/_doi&gt;&lt;_isbn&gt;1538-7836&lt;/_isbn&gt;&lt;_issue&gt;1&lt;/_issue&gt;&lt;_journal&gt;Journal of Thrombosis and Haemostasis&lt;/_journal&gt;&lt;_ori_publication&gt;Elsevier&lt;/_ori_publication&gt;&lt;_pages&gt;341-344&lt;/_pages&gt;&lt;_url&gt;https://doi.org/10.1016/j.jtha.2024.09.021&lt;/_url&gt;&lt;_volume&gt;23&lt;/_volume&gt;&lt;_created&gt;66129028&lt;/_created&gt;&lt;_modified&gt;66129028&lt;/_modified&gt;&lt;_impact_factor&gt;  16.036&lt;/_impact_factor&gt;&lt;_social_category&gt;血液学(2) &amp;amp; 外周血管病(2)&lt;/_social_category&gt;&lt;_collection_scope&gt;SCIE&lt;/_collection_scope&gt;&lt;/Details&gt;&lt;Extra&gt;&lt;DBUID&gt;{F96A950B-833F-4880-A151-76DA2D6A2879}&lt;/DBUID&gt;&lt;/Extra&gt;&lt;/Item&gt;&lt;/References&gt;&lt;/Group&gt;&lt;/Citation&gt;_x000a_"/>
    <w:docVar w:name="NE.Ref{999791E7-903D-4747-8B03-50EB661BA504}" w:val=" ADDIN NE.Ref.{999791E7-903D-4747-8B03-50EB661BA504}&lt;Citation&gt;&lt;Group&gt;&lt;References&gt;&lt;Item&gt;&lt;ID&gt;3055&lt;/ID&gt;&lt;UID&gt;{19EBD34F-EFE3-44E6-AEC9-575C4768DCCF}&lt;/UID&gt;&lt;Title&gt;2023 ACR/EULAR antiphospholipid syndrome classification criteria&lt;/Title&gt;&lt;Template&gt;Journal Article&lt;/Template&gt;&lt;Star&gt;1&lt;/Star&gt;&lt;Tag&gt;5&lt;/Tag&gt;&lt;Author&gt;Barbhaiya, Medha; Zuily, Stephane; Naden, Ray; Hendry, Alison; Manneville, Florian; Amigo, Mary-Carmen; Amoura, Zahir; Andrade, Danieli; Andreoli, Laura; Artim-Esen, Bahar; Atsumi, Tatsuya; Avcin, Tadej; Belmont, Michael H; Bertolaccini, Maria Laura; Branch, D Ware; Carvalheiras, Graziela; Casini, Alessandro; Cervera, Ricard; Cohen, Hannah; Costedoat-Chalumeau, Nathalie; Crowther, Mark; de Jesús, Guilherme; Delluc, Aurelien; Desai, Sheetal; Sancho, Maria De; Devreese, Katrien M; Diz-Kucukkaya, Reyhan; Duarte-García, Ali; Frances, Camille; Garcia, David; Gris, Jean-Christophe; Jordan, Natasha; Leaf, Rebecca K; Kello, Nina; Knight, Jason S; Laskin, Carl; Lee, Alfred I; Legault, Kimberly; Levine, Steve R; Levy, Roger A; Limper, Maarten; Lockshin, Michael D; Mayer-Pickel, Karoline; Musial, Jack; Meroni, Pier Luigi; Orsolini, Giovanni; Ortel, Thomas L; Pengo, Vittorio; Petri, Michelle; Pons-Estel, Guillermo; Gomez-Puerta, Jose A; Raimboug, Quentin; Roubey, Robert; Sanna, Giovanni; Seshan, Surya V; Sciascia, Savino; Tektonidou, Maria G; Tincani, Angela; Wahl, Denis; Willis, Rohan; Yelnik, Cécile; Zuily, Catherine; Guillemin, Francis; Costenbader, Karen; Erkan, Doruk; Agmon-Levin, Nancy; Aguilar, Cassyanne; Alba, Paula; Alpan, Oral; Ambrozic, Ales; Andrade, Luis; Appenzeller, Simone; Berkun, Yackov; Cabral, Antonio; Canaud, Guillame; Chen, Pojen; Chighizola, Cecilia; Cimaz, Rolando; Cuadrado, Maria Jose; Groot, Philip G De; Moerloose, Philippe De; Derksen, Ronald; Dörner, Thomas; Fortin, Paul; Giannakopoulos, Bill; Gonzalez, Emilio B; Inanc, Murat; Kenet, Gili; Khamashta, Munther; Kriegel, Martin; Krilis, Steven; Ladha, Danyal; Massicotte, Patti; McCarty, Gale; Mikdashi, Jamal; Myones, Barry; Sammaritano, Lisa; Signorelli, Flavio; Soybilgic, Arzu; Woller, Scott; Zuo, Ray&lt;/Author&gt;&lt;Year&gt;2023&lt;/Year&gt;&lt;Details&gt;&lt;_alternate_title&gt;Annals of the Rheumatic Diseases&lt;/_alternate_title&gt;&lt;_date_display&gt;2023&lt;/_date_display&gt;&lt;_date&gt;2023-01-01&lt;/_date&gt;&lt;_doi&gt;https://doi.org/10.1136/ard-2023-224609&lt;/_doi&gt;&lt;_isbn&gt;0003-4967&lt;/_isbn&gt;&lt;_issue&gt;10&lt;/_issue&gt;&lt;_journal&gt;Annals of the Rheumatic Diseases&lt;/_journal&gt;&lt;_keywords&gt;antiphospholipid syndrome; thrombosis; antibodies; antiphospholipid&lt;/_keywords&gt;&lt;_pages&gt;1258-1270&lt;/_pages&gt;&lt;_url&gt;https://www.sciencedirect.com/science/article/pii/S0003496724102907&lt;/_url&gt;&lt;_volume&gt;82&lt;/_volume&gt;&lt;_created&gt;66129016&lt;/_created&gt;&lt;_modified&gt;66129016&lt;/_modified&gt;&lt;_impact_factor&gt;  27.973&lt;/_impact_factor&gt;&lt;_social_category&gt;风湿病学(1)&lt;/_social_category&gt;&lt;_collection_scope&gt;SCIE&lt;/_collection_scope&gt;&lt;/Details&gt;&lt;Extra&gt;&lt;DBUID&gt;{F96A950B-833F-4880-A151-76DA2D6A2879}&lt;/DBUID&gt;&lt;/Extra&gt;&lt;/Item&gt;&lt;/References&gt;&lt;/Group&gt;&lt;Group&gt;&lt;References&gt;&lt;Item&gt;&lt;ID&gt;3056&lt;/ID&gt;&lt;UID&gt;{06288F58-8014-4920-A473-088D8A4D2111}&lt;/UID&gt;&lt;Title&gt;International consensus statement on an update of the classification criteria for  definite antiphospholipid syndrome (APS)&lt;/Title&gt;&lt;Template&gt;Journal Article&lt;/Template&gt;&lt;Star&gt;1&lt;/Star&gt;&lt;Tag&gt;0&lt;/Tag&gt;&lt;Author&gt;Miyakis, S; Lockshin, M D; Atsumi, T; Branch, D W; Brey, R L; Cervera, R; Derksen, R H; DE Groot, P G; Koike, T; Meroni, P L; Reber, G; Shoenfeld, Y; Tincani, A; Vlachoyiannopoulos, P G; Krilis, S A&lt;/Author&gt;&lt;Year&gt;2006&lt;/Year&gt;&lt;Details&gt;&lt;_accession_num&gt;16420554&lt;/_accession_num&gt;&lt;_author_adr&gt;St George Hospital, University of New South Wales, Sydney, Australia.&lt;/_author_adr&gt;&lt;_date_display&gt;2006 Feb&lt;/_date_display&gt;&lt;_date&gt;2006-02-01&lt;/_date&gt;&lt;_doi&gt;10.1111/j.1538-7836.2006.01753.x&lt;/_doi&gt;&lt;_isbn&gt;1538-7933 (Print); 1538-7836 (Linking)&lt;/_isbn&gt;&lt;_issue&gt;2&lt;/_issue&gt;&lt;_journal&gt;J Thromb Haemost&lt;/_journal&gt;&lt;_language&gt;eng&lt;/_language&gt;&lt;_pages&gt;295-306&lt;/_pages&gt;&lt;_subject_headings&gt;Antibodies, Antiphospholipid/blood; Antiphospholipid Syndrome/*classification/complications/diagnosis/immunology; Female; Heart Diseases/etiology; Humans; Kidney Diseases/etiology; Nervous System Diseases/etiology; Pregnancy; Pregnancy Complications/classification/diagnosis/immunology; Prognosis; Risk Factors; Skin Diseases/etiology; Thrombocytopenia/etiology&lt;/_subject_headings&gt;&lt;_tertiary_title&gt;Journal of thrombosis and haemostasis : JTH&lt;/_tertiary_title&gt;&lt;_type_work&gt;Consensus Development Conference; Journal Article; Research Support, Non-U.S. Gov&amp;apos;t&lt;/_type_work&gt;&lt;_url&gt;http://www.ncbi.nlm.nih.gov/entrez/query.fcgi?cmd=Retrieve&amp;amp;db=pubmed&amp;amp;dopt=Abstract&amp;amp;list_uids=16420554&amp;amp;query_hl=1&lt;/_url&gt;&lt;_volume&gt;4&lt;/_volume&gt;&lt;_created&gt;66129022&lt;/_created&gt;&lt;_modified&gt;66129022&lt;/_modified&gt;&lt;_impact_factor&gt;  16.036&lt;/_impact_factor&gt;&lt;_social_category&gt;血液学(2) &amp;amp; 外周血管病(2)&lt;/_social_category&gt;&lt;_collection_scope&gt;SCIE&lt;/_collection_scope&gt;&lt;/Details&gt;&lt;Extra&gt;&lt;DBUID&gt;{F96A950B-833F-4880-A151-76DA2D6A2879}&lt;/DBUID&gt;&lt;/Extra&gt;&lt;/Item&gt;&lt;/References&gt;&lt;/Group&gt;&lt;/Citation&gt;_x000a_"/>
    <w:docVar w:name="NE.Ref{AB024AA3-C010-4C84-AA7E-C7DB33C2B224}" w:val=" ADDIN NE.Ref.{AB024AA3-C010-4C84-AA7E-C7DB33C2B224}&lt;Citation&gt;&lt;Group&gt;&lt;References&gt;&lt;Item&gt;&lt;ID&gt;3057&lt;/ID&gt;&lt;UID&gt;{502247F8-5512-46B1-B8C7-A9A3F4E179F7}&lt;/UID&gt;&lt;Title&gt;Diagnosis and Management of the Antiphospholipid Syndrome&lt;/Title&gt;&lt;Template&gt;Journal Article&lt;/Template&gt;&lt;Star&gt;1&lt;/Star&gt;&lt;Tag&gt;0&lt;/Tag&gt;&lt;Author&gt;Garcia, D; Erkan, D&lt;/Author&gt;&lt;Year&gt;2018&lt;/Year&gt;&lt;Details&gt;&lt;_accession_num&gt;29791828&lt;/_accession_num&gt;&lt;_author_adr&gt;From the University of Washington School of Medicine, Seattle (D.G.); and the  Barbara Volcker Center for Women and Rheumatic Diseases, Hospital for Special  Surgery, Weill Cornell Medicine, New York (D.E.).; From the University of Washington School of Medicine, Seattle (D.G.); and the  Barbara Volcker Center for Women and Rheumatic Diseases, Hospital for Special  Surgery, Weill Cornell Medicine, New York (D.E.).&lt;/_author_adr&gt;&lt;_date_display&gt;2018 May 24&lt;/_date_display&gt;&lt;_date&gt;2018-05-24&lt;/_date&gt;&lt;_doi&gt;10.1056/NEJMra1705454&lt;/_doi&gt;&lt;_isbn&gt;1533-4406 (Electronic); 0028-4793 (Linking)&lt;/_isbn&gt;&lt;_issue&gt;21&lt;/_issue&gt;&lt;_journal&gt;N Engl J Med&lt;/_journal&gt;&lt;_language&gt;eng&lt;/_language&gt;&lt;_pages&gt;2010-2021&lt;/_pages&gt;&lt;_subject_headings&gt;Antibodies, Antiphospholipid/*blood/physiology; Anticoagulants/*therapeutic use; Antiphospholipid Syndrome/complications/*diagnosis/*drug therapy/immunology; Humans; Thrombosis/etiology/*prevention &amp;amp; control; Warfarin/*therapeutic use&lt;/_subject_headings&gt;&lt;_tertiary_title&gt;The New England journal of medicine&lt;/_tertiary_title&gt;&lt;_type_work&gt;Journal Article; Research Support, Non-U.S. Gov&amp;apos;t; Review&lt;/_type_work&gt;&lt;_url&gt;http://www.ncbi.nlm.nih.gov/entrez/query.fcgi?cmd=Retrieve&amp;amp;db=pubmed&amp;amp;dopt=Abstract&amp;amp;list_uids=29791828&amp;amp;query_hl=1&lt;/_url&gt;&lt;_volume&gt;378&lt;/_volume&gt;&lt;_created&gt;66129024&lt;/_created&gt;&lt;_modified&gt;66129024&lt;/_modified&gt;&lt;_impact_factor&gt; 176.079&lt;/_impact_factor&gt;&lt;_social_category&gt;医学：内科(1)&lt;/_social_category&gt;&lt;_collection_scope&gt;SCIE&lt;/_collection_scope&gt;&lt;/Details&gt;&lt;Extra&gt;&lt;DBUID&gt;{F96A950B-833F-4880-A151-76DA2D6A2879}&lt;/DBUID&gt;&lt;/Extra&gt;&lt;/Item&gt;&lt;/References&gt;&lt;/Group&gt;&lt;/Citation&gt;_x000a_"/>
    <w:docVar w:name="NE.Ref{B1D2B40E-7996-4E76-877E-2BAE8E6E495B}" w:val=" ADDIN NE.Ref.{B1D2B40E-7996-4E76-877E-2BAE8E6E495B}&lt;Citation&gt;&lt;Group&gt;&lt;References&gt;&lt;Item&gt;&lt;ID&gt;2239&lt;/ID&gt;&lt;UID&gt;{7B96E164-1559-4089-9B16-44BB899CCDCE}&lt;/UID&gt;&lt;Title&gt;An update on laboratory detection and interpretation of antiphospholipid  antibodies for diagnosis of antiphospholipid syndrome: Guidance from the  International Society on Thrombosis and Haemostasis Scientific and  Standardization Committee (ISTH-SSC) Subcommittee on Lupus  Anticoagulant/Antiphospholipid Antibodies&lt;/Title&gt;&lt;Template&gt;Journal Article&lt;/Template&gt;&lt;Star&gt;1&lt;/Star&gt;&lt;Tag&gt;5&lt;/Tag&gt;&lt;Author&gt;Devreese, KMJ; Bertolaccini, M L; Branch, D W; de Laat, B; Erkan, D; Favaloro, E J; Pengo, V; Ortel, T L; Wahl, D; Cohen, H&lt;/Author&gt;&lt;Year&gt;2024&lt;/Year&gt;&lt;Details&gt;&lt;_accessed&gt;65716456&lt;/_accessed&gt;&lt;_accession_num&gt;39510414&lt;/_accession_num&gt;&lt;_author_adr&gt;Coagulation Laboratory, Department of Laboratory Medicine, Ghent University  Hospital, Department of Diagnostic Sciences, Ghent University, Ghent, Belgium.  Electronic address: Katrien.devreese@ugent.be.; Academic Department of Vascular Surgery, School of Cardiovascular and Metabolic  Medicine &amp;amp; Sciences, King&amp;apos;s College London, United Kingdom.; D. Ware Branch; Professor of Obstetrics and Gynecology; James R. and Jo Scott  Research Chair, Department of Obstetrics and Gynecology; University of Utah; Salt  Lake City, UTAH USA.; Synapse Research Institute, Maastricht, the Netherlands.; Barbara Volcker Center for Women and Rheumatic Diseases, Hospital for Special  Surgery, Weill Cornell Medicine, New York, NY, USA.; Department of Haematology, Sydney Centres for Thrombosis and Haemostasis,  Institute of Clinical Pathology and Medical Research (ICPMR), NSW Health  Pathology, Westmead Hospital, Westmead, NSW Australia.; Thrombosis Research Laboratory, Department of Cardio-Thoracic-Vascular Sciences  and Public Health, University of Padova, Italy.; Division of Hematology, Department of Medicine, and Department of Pathology, Duke  University School of Medicine, Durham, NC, USA.; Vascular Medicine Department and Reference Center for Rare Systemic Autoimmune  and Autoinflammatory Diseases, Nancy University Hospital; INSERM UMR-S 1116;  University of Lorraine, Nancy, France.; Department of Haematology, Cancer Institute, University College London, London,  UK, Department of Haematology, University College London Hospitals NHS Foundation  Trust, London, UK.&lt;/_author_adr&gt;&lt;_collection_scope&gt;SCIE&lt;/_collection_scope&gt;&lt;_created&gt;65682113&lt;/_created&gt;&lt;_date&gt;2024-11-05&lt;/_date&gt;&lt;_date_display&gt;2024 Nov 5&lt;/_date_display&gt;&lt;_doi&gt;10.1016/j.jtha.2024.10.022&lt;/_doi&gt;&lt;_impact_factor&gt;  16.036&lt;/_impact_factor&gt;&lt;_isbn&gt;1538-7836 (Electronic); 1538-7836 (Linking)&lt;/_isbn&gt;&lt;_journal&gt;J Thromb Haemost&lt;/_journal&gt;&lt;_keywords&gt;Antiphospholipid antibodies; anti-β2-glycoprotein I; anticardiolipin; antiphospholipid syndrome; classification criteria; diagnosis; lupus anticoagulant&lt;/_keywords&gt;&lt;_language&gt;eng&lt;/_language&gt;&lt;_modified&gt;65716456&lt;/_modified&gt;&lt;_ori_publication&gt;Copyright © 2024. Published by Elsevier Inc.&lt;/_ori_publication&gt;&lt;_social_category&gt;血液学(2) &amp;amp; 外周血管病(2)&lt;/_social_category&gt;&lt;_tertiary_title&gt;Journal of thrombosis and haemostasis : JTH&lt;/_tertiary_title&gt;&lt;_type_work&gt;Journal Article; Practice Guideline&lt;/_type_work&gt;&lt;_url&gt;http://www.ncbi.nlm.nih.gov/entrez/query.fcgi?cmd=Retrieve&amp;amp;db=pubmed&amp;amp;dopt=Abstract&amp;amp;list_uids=39510414&amp;amp;query_hl=1&lt;/_url&gt;&lt;/Details&gt;&lt;Extra&gt;&lt;DBUID&gt;{F96A950B-833F-4880-A151-76DA2D6A2879}&lt;/DBUID&gt;&lt;/Extra&gt;&lt;/Item&gt;&lt;/References&gt;&lt;/Group&gt;&lt;Group&gt;&lt;References&gt;&lt;Item&gt;&lt;ID&gt;2254&lt;/ID&gt;&lt;UID&gt;{9750B013-E9C3-476D-9CC6-6CFCAA40EC08}&lt;/UID&gt;&lt;Title&gt;2023 American College of Rheumatology/European League Against Rheumatism antiphospholipid syndrome classification criteria solid phase–based antiphospholipid antibody domain—collaborative efforts of Antiphospholipid Syndrome Alliance for Clinical Trials and International Networking and ISTH SSC to harmonize enzyme-linked immunosorbent assay and non–enzyme-linked immunosorbent assay antiphospholipid antibody tests: communication from the ISTH SSC Subcommittee on Lupus Anticoagulant/Antiphospholipid Antibodies&lt;/Title&gt;&lt;Template&gt;Journal Article&lt;/Template&gt;&lt;Star&gt;1&lt;/Star&gt;&lt;Tag&gt;5&lt;/Tag&gt;&lt;Author&gt;Meroni, Pier Luigi; Borghi, Maria Orietta; Amengual, Olga; Atsumi, Tatsuyaa; Bertolaccini, Maria Laura; Cohen, Hannah; Grossi, Claudia; Roubey, Robert; Sciascia, Savino; Tebo, Anne; Willis, Rohan; Erkan, Doruk; Devreese, Katrien M J&lt;/Author&gt;&lt;Year&gt;2024&lt;/Year&gt;&lt;Details&gt;&lt;_accessed&gt;65682114&lt;/_accessed&gt;&lt;_collection_scope&gt;SCIE&lt;/_collection_scope&gt;&lt;_created&gt;65682114&lt;/_created&gt;&lt;_db_updated&gt;CrossRef&lt;/_db_updated&gt;&lt;_doi&gt;10.1016/j.jtha.2024.09.021&lt;/_doi&gt;&lt;_impact_factor&gt;  16.036&lt;/_impact_factor&gt;&lt;_isbn&gt;15387836&lt;/_isbn&gt;&lt;_journal&gt;Journal of Thrombosis and Haemostasis&lt;/_journal&gt;&lt;_modified&gt;66127622&lt;/_modified&gt;&lt;_social_category&gt;血液学(2) &amp;amp; 外周血管病(2)&lt;/_social_category&gt;&lt;_tertiary_title&gt;Journal of Thrombosis and Haemostasis&lt;/_tertiary_title&gt;&lt;_url&gt;https://linkinghub.elsevier.com/retrieve/pii/S1538783624005695_x000d__x000a_https://api.elsevier.com/content/article/PII:S1538783624005695?httpAccept=text/xml&lt;/_url&gt;&lt;/Details&gt;&lt;Extra&gt;&lt;DBUID&gt;{F96A950B-833F-4880-A151-76DA2D6A2879}&lt;/DBUID&gt;&lt;/Extra&gt;&lt;/Item&gt;&lt;/References&gt;&lt;/Group&gt;&lt;/Citation&gt;_x000a_"/>
    <w:docVar w:name="NE.Ref{D967A6DF-8B80-45E2-9E16-8739A7EE49F1}" w:val=" ADDIN NE.Ref.{D967A6DF-8B80-45E2-9E16-8739A7EE49F1}&lt;Citation&gt;&lt;Group&gt;&lt;References&gt;&lt;Item&gt;&lt;ID&gt;3060&lt;/ID&gt;&lt;UID&gt;{770FF90A-1F06-4E22-B522-2CAE8D73F320}&lt;/UID&gt;&lt;Title&gt;A chimeric antibody with the human gamma1 constant region as a putative standard  for assays to detect IgG beta2-glycoprotein I-dependent anticardiolipin and  anti-beta2-glycoprotein I antibodies&lt;/Title&gt;&lt;Template&gt;Journal Article&lt;/Template&gt;&lt;Star&gt;1&lt;/Star&gt;&lt;Tag&gt;0&lt;/Tag&gt;&lt;Author&gt;Ichikawa, K; Tsutsumi, A; Atsumi, T; Matsuura, E; Kobayashi, S; Hughes, G R; Khamashta, M A; Koike, T&lt;/Author&gt;&lt;Year&gt;1999&lt;/Year&gt;&lt;Details&gt;&lt;_accession_num&gt;10555042&lt;/_accession_num&gt;&lt;_author_adr&gt;Department of Medicine II, Hokkaido University School of Medicine, Sapporo,  Japan.&lt;/_author_adr&gt;&lt;_date_display&gt;1999 Nov&lt;/_date_display&gt;&lt;_date&gt;1999-11-01&lt;/_date&gt;&lt;_doi&gt;10.1002/1529-0131(199911)42:11&amp;lt;2461::AID-ANR25&amp;gt;3.0.CO;2-O&lt;/_doi&gt;&lt;_isbn&gt;0004-3591 (Print); 0004-3591 (Linking)&lt;/_isbn&gt;&lt;_issue&gt;11&lt;/_issue&gt;&lt;_journal&gt;Arthritis Rheum&lt;/_journal&gt;&lt;_language&gt;eng&lt;/_language&gt;&lt;_pages&gt;2461-70&lt;/_pages&gt;&lt;_subject_headings&gt;Amino Acid Sequence; Animals; Antibodies, Anticardiolipin/*analysis/immunology; Antibodies, Monoclonal/genetics/*immunology; Antibody Affinity; Antibody Specificity; Antiphospholipid Syndrome/immunology; Base Sequence; Glycoproteins/*immunology; Humans; Immunoglobulin Constant Regions/genetics/immunology; Immunoglobulin G/*analysis/immunology; Immunoglobulin Variable Region/genetics/immunology; Immunoglobulin gamma-Chains/genetics/immunology; Mice; Molecular Sequence Data; Recombinant Fusion Proteins/immunology; beta 2-Glycoprotein I&lt;/_subject_headings&gt;&lt;_tertiary_title&gt;Arthritis and rheumatism&lt;/_tertiary_title&gt;&lt;_type_work&gt;Journal Article; Research Support, Non-U.S. Gov&amp;apos;t&lt;/_type_work&gt;&lt;_url&gt;http://www.ncbi.nlm.nih.gov/entrez/query.fcgi?cmd=Retrieve&amp;amp;db=pubmed&amp;amp;dopt=Abstract&amp;amp;list_uids=10555042&amp;amp;query_hl=1&lt;/_url&gt;&lt;_volume&gt;42&lt;/_volume&gt;&lt;_created&gt;66129033&lt;/_created&gt;&lt;_modified&gt;66129033&lt;/_modified&gt;&lt;/Details&gt;&lt;Extra&gt;&lt;DBUID&gt;{F96A950B-833F-4880-A151-76DA2D6A2879}&lt;/DBUID&gt;&lt;/Extra&gt;&lt;/Item&gt;&lt;/References&gt;&lt;/Group&gt;&lt;Group&gt;&lt;References&gt;&lt;Item&gt;&lt;ID&gt;3061&lt;/ID&gt;&lt;UID&gt;{18EACCFF-EC69-413E-8320-5D638E5A3CF8}&lt;/UID&gt;&lt;Title&gt;Development of a certified reference material for anti-β2-glycoprotein I IgG -  commutability studies&lt;/Title&gt;&lt;Template&gt;Journal Article&lt;/Template&gt;&lt;Star&gt;1&lt;/Star&gt;&lt;Tag&gt;0&lt;/Tag&gt;&lt;Author&gt;Monogioudi, E; Martos, G; Sheldon, J; Meroni, P L; Trapmann, S; Zegers, I&lt;/Author&gt;&lt;Year&gt;2020&lt;/Year&gt;&lt;Details&gt;&lt;_accession_num&gt;33001848&lt;/_accession_num&gt;&lt;_author_adr&gt;European Commission - Joint Research Centre (JRC), Geel, Belgium.; European Commission - Joint Research Centre (JRC), Geel, Belgium.; International Bureau of Weights and Measures, Sèvres, France.; St. George&amp;apos;s Hospital, Protein Reference Unit, London, UK.; University of Milan, IRCCS Instituto Auxologico Italiano, Milan, Italy.; European Commission - Joint Research Centre (JRC), Geel, Belgium.; European Commission - Joint Research Centre (JRC), Geel, Belgium.&lt;/_author_adr&gt;&lt;_date_display&gt;2020 Oct 1&lt;/_date_display&gt;&lt;_date&gt;2020-10-01&lt;/_date&gt;&lt;_doi&gt;10.1515/cclm-2020-0995&lt;/_doi&gt;&lt;_isbn&gt;1437-4331 (Electronic); 1434-6621 (Linking)&lt;/_isbn&gt;&lt;_issue&gt;2&lt;/_issue&gt;&lt;_journal&gt;Clin Chem Lab Med&lt;/_journal&gt;&lt;_keywords&gt;autoimmune testing; certified reference materials; harmonization; proteinase 3; standardization&lt;/_keywords&gt;&lt;_language&gt;eng&lt;/_language&gt;&lt;_pages&gt;325-332&lt;/_pages&gt;&lt;_subject_headings&gt;Antiphospholipid Syndrome/*diagnosis; Blood Specimen Collection; Drug Storage; Enzyme-Linked Immunosorbent Assay; Female; Humans; Immunoglobulin G/*chemistry; Pregnancy; Pregnancy Complications/diagnosis; Reference Standards; Risk Assessment; Thrombosis/diagnosis; beta 2-Glycoprotein I/*blood&lt;/_subject_headings&gt;&lt;_tertiary_title&gt;Clinical chemistry and laboratory medicine&lt;/_tertiary_title&gt;&lt;_type_work&gt;Journal Article&lt;/_type_work&gt;&lt;_url&gt;http://www.ncbi.nlm.nih.gov/entrez/query.fcgi?cmd=Retrieve&amp;amp;db=pubmed&amp;amp;dopt=Abstract&amp;amp;list_uids=33001848&amp;amp;query_hl=1&lt;/_url&gt;&lt;_volume&gt;59&lt;/_volume&gt;&lt;_created&gt;66129034&lt;/_created&gt;&lt;_modified&gt;66129035&lt;/_modified&gt;&lt;_impact_factor&gt;   8.490&lt;/_impact_factor&gt;&lt;_social_category&gt;医学实验技术(1)&lt;/_social_category&gt;&lt;_collection_scope&gt;SCIE&lt;/_collection_scope&gt;&lt;/Details&gt;&lt;Extra&gt;&lt;DBUID&gt;{F96A950B-833F-4880-A151-76DA2D6A2879}&lt;/DBUID&gt;&lt;/Extra&gt;&lt;/Item&gt;&lt;/References&gt;&lt;/Group&gt;&lt;Group&gt;&lt;References&gt;&lt;Item&gt;&lt;ID&gt;3053&lt;/ID&gt;&lt;UID&gt;{FD5CD9B8-D2BA-4741-A211-0CC4F68F34A1}&lt;/UID&gt;&lt;Title&gt;Antiphospholipid IgG Certified Reference Material ERM® -DA477/IFCC: a tool for aPL harmonization?&lt;/Title&gt;&lt;Template&gt;Journal Article&lt;/Template&gt;&lt;Star&gt;1&lt;/Star&gt;&lt;Tag&gt;5&lt;/Tag&gt;&lt;Author&gt;Grossi, Claudia; Deprez, Liesbet; Bodio, Caterina; Borghi, Maria Orietta; Kumar, Suresh; Pozzi, Nicola; Macor, Paolo; Piantoni, Silvia; Tincani, Angela; Radin, Massimo; Sciascia, Savino; Martos, Gustavo; Monogioudi, Evanthia; Zegers, Ingrid; Sheldon, Joanna; Willis, Rohan; Meroni, Pier Luigi&lt;/Author&gt;&lt;Year&gt;2025&lt;/Year&gt;&lt;Details&gt;&lt;_accessed&gt;66127556&lt;/_accessed&gt;&lt;_created&gt;66127556&lt;/_created&gt;&lt;_date&gt;65962080&lt;/_date&gt;&lt;_db_updated&gt;CrossRef&lt;/_db_updated&gt;&lt;_doi&gt;10.1515/cclm-2025-0032&lt;/_doi&gt;&lt;_impact_factor&gt;   8.490&lt;/_impact_factor&gt;&lt;_isbn&gt;1434-6621&lt;/_isbn&gt;&lt;_issue&gt;7&lt;/_issue&gt;&lt;_journal&gt;Clinical Chemistry and Laboratory Medicine (CCLM)&lt;/_journal&gt;&lt;_modified&gt;66127580&lt;/_modified&gt;&lt;_pages&gt;1315-1326&lt;/_pages&gt;&lt;_social_category&gt;医学实验技术(1)&lt;/_social_category&gt;&lt;_url&gt;https://www.degruyterbrill.com/document/doi/10.1515/cclm-2025-0032/html_x000d__x000a_https://www.degruyterbrill.com/document/doi/10.1515/cclm-2025-0032/pdf&lt;/_url&gt;&lt;_volume&gt;63&lt;/_volume&gt;&lt;/Details&gt;&lt;Extra&gt;&lt;DBUID&gt;{F96A950B-833F-4880-A151-76DA2D6A2879}&lt;/DBUID&gt;&lt;/Extra&gt;&lt;/Item&gt;&lt;/References&gt;&lt;/Group&gt;&lt;/Citation&gt;_x000a_"/>
    <w:docVar w:name="NE.Ref{FF07BA58-F9BB-4D76-9084-F96EEA36701C}" w:val=" ADDIN NE.Ref.{FF07BA58-F9BB-4D76-9084-F96EEA36701C}&lt;Citation&gt;&lt;Group&gt;&lt;References&gt;&lt;Item&gt;&lt;ID&gt;3055&lt;/ID&gt;&lt;UID&gt;{19EBD34F-EFE3-44E6-AEC9-575C4768DCCF}&lt;/UID&gt;&lt;Title&gt;2023 ACR/EULAR antiphospholipid syndrome classification criteria&lt;/Title&gt;&lt;Template&gt;Journal Article&lt;/Template&gt;&lt;Star&gt;1&lt;/Star&gt;&lt;Tag&gt;5&lt;/Tag&gt;&lt;Author&gt;Barbhaiya, Medha; Zuily, Stephane; Naden, Ray; Hendry, Alison; Manneville, Florian; Amigo, Mary-Carmen; Amoura, Zahir; Andrade, Danieli; Andreoli, Laura; Artim-Esen, Bahar; Atsumi, Tatsuya; Avcin, Tadej; Belmont, Michael H; Bertolaccini, Maria Laura; Branch, D Ware; Carvalheiras, Graziela; Casini, Alessandro; Cervera, Ricard; Cohen, Hannah; Costedoat-Chalumeau, Nathalie; Crowther, Mark; de Jesús, Guilherme; Delluc, Aurelien; Desai, Sheetal; Sancho, Maria De; Devreese, Katrien M; Diz-Kucukkaya, Reyhan; Duarte-García, Ali; Frances, Camille; Garcia, David; Gris, Jean-Christophe; Jordan, Natasha; Leaf, Rebecca K; Kello, Nina; Knight, Jason S; Laskin, Carl; Lee, Alfred I; Legault, Kimberly; Levine, Steve R; Levy, Roger A; Limper, Maarten; Lockshin, Michael D; Mayer-Pickel, Karoline; Musial, Jack; Meroni, Pier Luigi; Orsolini, Giovanni; Ortel, Thomas L; Pengo, Vittorio; Petri, Michelle; Pons-Estel, Guillermo; Gomez-Puerta, Jose A; Raimboug, Quentin; Roubey, Robert; Sanna, Giovanni; Seshan, Surya V; Sciascia, Savino; Tektonidou, Maria G; Tincani, Angela; Wahl, Denis; Willis, Rohan; Yelnik, Cécile; Zuily, Catherine; Guillemin, Francis; Costenbader, Karen; Erkan, Doruk; Agmon-Levin, Nancy; Aguilar, Cassyanne; Alba, Paula; Alpan, Oral; Ambrozic, Ales; Andrade, Luis; Appenzeller, Simone; Berkun, Yackov; Cabral, Antonio; Canaud, Guillame; Chen, Pojen; Chighizola, Cecilia; Cimaz, Rolando; Cuadrado, Maria Jose; Groot, Philip G De; Moerloose, Philippe De; Derksen, Ronald; Dörner, Thomas; Fortin, Paul; Giannakopoulos, Bill; Gonzalez, Emilio B; Inanc, Murat; Kenet, Gili; Khamashta, Munther; Kriegel, Martin; Krilis, Steven; Ladha, Danyal; Massicotte, Patti; McCarty, Gale; Mikdashi, Jamal; Myones, Barry; Sammaritano, Lisa; Signorelli, Flavio; Soybilgic, Arzu; Woller, Scott; Zuo, Ray&lt;/Author&gt;&lt;Year&gt;2023&lt;/Year&gt;&lt;Details&gt;&lt;_alternate_title&gt;Annals of the Rheumatic Diseases&lt;/_alternate_title&gt;&lt;_date_display&gt;2023&lt;/_date_display&gt;&lt;_date&gt;2023-01-01&lt;/_date&gt;&lt;_doi&gt;https://doi.org/10.1136/ard-2023-224609&lt;/_doi&gt;&lt;_isbn&gt;0003-4967&lt;/_isbn&gt;&lt;_issue&gt;10&lt;/_issue&gt;&lt;_journal&gt;Annals of the Rheumatic Diseases&lt;/_journal&gt;&lt;_keywords&gt;antiphospholipid syndrome; thrombosis; antibodies; antiphospholipid&lt;/_keywords&gt;&lt;_pages&gt;1258-1270&lt;/_pages&gt;&lt;_url&gt;https://www.sciencedirect.com/science/article/pii/S0003496724102907&lt;/_url&gt;&lt;_volume&gt;82&lt;/_volume&gt;&lt;_created&gt;66129016&lt;/_created&gt;&lt;_modified&gt;66129016&lt;/_modified&gt;&lt;_impact_factor&gt;  27.973&lt;/_impact_factor&gt;&lt;_social_category&gt;风湿病学(1)&lt;/_social_category&gt;&lt;_collection_scope&gt;SCIE&lt;/_collection_scope&gt;&lt;/Details&gt;&lt;Extra&gt;&lt;DBUID&gt;{F96A950B-833F-4880-A151-76DA2D6A2879}&lt;/DBUID&gt;&lt;/Extra&gt;&lt;/Item&gt;&lt;/References&gt;&lt;/Group&gt;&lt;/Citation&gt;_x000a_"/>
    <w:docVar w:name="ne_docsoft" w:val="MSWord"/>
    <w:docVar w:name="ne_docversion" w:val="NoteExpress 2.0"/>
    <w:docVar w:name="ne_stylename" w:val="Numbered(multilingual)"/>
  </w:docVars>
  <w:rsids>
    <w:rsidRoot w:val="00B84180"/>
    <w:rsid w:val="B7F78C82"/>
    <w:rsid w:val="C7DEE4C7"/>
    <w:rsid w:val="00002BB6"/>
    <w:rsid w:val="00007061"/>
    <w:rsid w:val="000134FB"/>
    <w:rsid w:val="00015B06"/>
    <w:rsid w:val="00015D73"/>
    <w:rsid w:val="00030D9D"/>
    <w:rsid w:val="00035B28"/>
    <w:rsid w:val="00037FAC"/>
    <w:rsid w:val="00041E4A"/>
    <w:rsid w:val="00047540"/>
    <w:rsid w:val="00053AE6"/>
    <w:rsid w:val="0005553B"/>
    <w:rsid w:val="0006720A"/>
    <w:rsid w:val="00082259"/>
    <w:rsid w:val="0009141C"/>
    <w:rsid w:val="000A0D3D"/>
    <w:rsid w:val="000A66FE"/>
    <w:rsid w:val="000B44D4"/>
    <w:rsid w:val="000C0FDD"/>
    <w:rsid w:val="000C4DCC"/>
    <w:rsid w:val="000D2903"/>
    <w:rsid w:val="000E1366"/>
    <w:rsid w:val="000E4628"/>
    <w:rsid w:val="000E7AE9"/>
    <w:rsid w:val="000F4398"/>
    <w:rsid w:val="001074B0"/>
    <w:rsid w:val="00112345"/>
    <w:rsid w:val="00116FBA"/>
    <w:rsid w:val="00120875"/>
    <w:rsid w:val="001252DC"/>
    <w:rsid w:val="001327E0"/>
    <w:rsid w:val="00152F3B"/>
    <w:rsid w:val="00160FBE"/>
    <w:rsid w:val="00162D66"/>
    <w:rsid w:val="0016319C"/>
    <w:rsid w:val="0016688B"/>
    <w:rsid w:val="001700E7"/>
    <w:rsid w:val="00170309"/>
    <w:rsid w:val="00197382"/>
    <w:rsid w:val="001A4249"/>
    <w:rsid w:val="001A6657"/>
    <w:rsid w:val="001B01BC"/>
    <w:rsid w:val="001B70FC"/>
    <w:rsid w:val="001D1ACE"/>
    <w:rsid w:val="001D3ACE"/>
    <w:rsid w:val="001E307D"/>
    <w:rsid w:val="001E5AEF"/>
    <w:rsid w:val="00202F48"/>
    <w:rsid w:val="00203327"/>
    <w:rsid w:val="002057DD"/>
    <w:rsid w:val="00213BC4"/>
    <w:rsid w:val="002150B4"/>
    <w:rsid w:val="00223A4F"/>
    <w:rsid w:val="00233EE3"/>
    <w:rsid w:val="00235C3C"/>
    <w:rsid w:val="002363EB"/>
    <w:rsid w:val="00240799"/>
    <w:rsid w:val="00244FF3"/>
    <w:rsid w:val="002452DF"/>
    <w:rsid w:val="00247AF2"/>
    <w:rsid w:val="00251458"/>
    <w:rsid w:val="002574A9"/>
    <w:rsid w:val="00272891"/>
    <w:rsid w:val="002746A4"/>
    <w:rsid w:val="00275718"/>
    <w:rsid w:val="00277AB4"/>
    <w:rsid w:val="00280423"/>
    <w:rsid w:val="0028483F"/>
    <w:rsid w:val="00295315"/>
    <w:rsid w:val="00295E18"/>
    <w:rsid w:val="002A1B97"/>
    <w:rsid w:val="002A6D47"/>
    <w:rsid w:val="002A7F34"/>
    <w:rsid w:val="002B7B7B"/>
    <w:rsid w:val="002C7E3A"/>
    <w:rsid w:val="002E010D"/>
    <w:rsid w:val="002E3F00"/>
    <w:rsid w:val="002F0C7B"/>
    <w:rsid w:val="002F2C2E"/>
    <w:rsid w:val="002F6262"/>
    <w:rsid w:val="00304F4D"/>
    <w:rsid w:val="00315F87"/>
    <w:rsid w:val="00317647"/>
    <w:rsid w:val="00324B0B"/>
    <w:rsid w:val="00326A67"/>
    <w:rsid w:val="00343259"/>
    <w:rsid w:val="00343A24"/>
    <w:rsid w:val="00352751"/>
    <w:rsid w:val="0035275F"/>
    <w:rsid w:val="00352949"/>
    <w:rsid w:val="00361BD7"/>
    <w:rsid w:val="00365064"/>
    <w:rsid w:val="00371BFE"/>
    <w:rsid w:val="00380788"/>
    <w:rsid w:val="0038096F"/>
    <w:rsid w:val="00387128"/>
    <w:rsid w:val="00387CBE"/>
    <w:rsid w:val="00390ED3"/>
    <w:rsid w:val="003A1C5E"/>
    <w:rsid w:val="003A283A"/>
    <w:rsid w:val="003A7D27"/>
    <w:rsid w:val="003B2DC7"/>
    <w:rsid w:val="003B3DAE"/>
    <w:rsid w:val="003B4508"/>
    <w:rsid w:val="003C3C80"/>
    <w:rsid w:val="003D5FBD"/>
    <w:rsid w:val="003E5775"/>
    <w:rsid w:val="003F0C07"/>
    <w:rsid w:val="003F22AB"/>
    <w:rsid w:val="003F2997"/>
    <w:rsid w:val="0040191C"/>
    <w:rsid w:val="00414EE0"/>
    <w:rsid w:val="00417B74"/>
    <w:rsid w:val="00426897"/>
    <w:rsid w:val="00430131"/>
    <w:rsid w:val="004345FC"/>
    <w:rsid w:val="004354EC"/>
    <w:rsid w:val="00437B2E"/>
    <w:rsid w:val="00447BA7"/>
    <w:rsid w:val="00463C9B"/>
    <w:rsid w:val="00466157"/>
    <w:rsid w:val="004927E6"/>
    <w:rsid w:val="00492979"/>
    <w:rsid w:val="004B1462"/>
    <w:rsid w:val="004B1579"/>
    <w:rsid w:val="004B5386"/>
    <w:rsid w:val="004C59D1"/>
    <w:rsid w:val="004D6AC7"/>
    <w:rsid w:val="004E449B"/>
    <w:rsid w:val="004E514E"/>
    <w:rsid w:val="004F2ECB"/>
    <w:rsid w:val="004F3B82"/>
    <w:rsid w:val="00504B04"/>
    <w:rsid w:val="00512627"/>
    <w:rsid w:val="00521790"/>
    <w:rsid w:val="005227A1"/>
    <w:rsid w:val="00523776"/>
    <w:rsid w:val="005240E5"/>
    <w:rsid w:val="00530110"/>
    <w:rsid w:val="00556DC8"/>
    <w:rsid w:val="005571EF"/>
    <w:rsid w:val="005604BE"/>
    <w:rsid w:val="00563C53"/>
    <w:rsid w:val="00573B65"/>
    <w:rsid w:val="00574D88"/>
    <w:rsid w:val="00585FF3"/>
    <w:rsid w:val="005952A4"/>
    <w:rsid w:val="005A34E1"/>
    <w:rsid w:val="005A381C"/>
    <w:rsid w:val="005A4CFF"/>
    <w:rsid w:val="005B040A"/>
    <w:rsid w:val="005B791F"/>
    <w:rsid w:val="005C11B2"/>
    <w:rsid w:val="005C2875"/>
    <w:rsid w:val="005C4EB4"/>
    <w:rsid w:val="005C6129"/>
    <w:rsid w:val="005D5E2D"/>
    <w:rsid w:val="005F5AFA"/>
    <w:rsid w:val="005F66F9"/>
    <w:rsid w:val="00602716"/>
    <w:rsid w:val="00613517"/>
    <w:rsid w:val="006246E0"/>
    <w:rsid w:val="0063766E"/>
    <w:rsid w:val="00647A2A"/>
    <w:rsid w:val="00647AD7"/>
    <w:rsid w:val="0065171C"/>
    <w:rsid w:val="00657121"/>
    <w:rsid w:val="00657793"/>
    <w:rsid w:val="00657E0E"/>
    <w:rsid w:val="006652F2"/>
    <w:rsid w:val="00666707"/>
    <w:rsid w:val="00670FED"/>
    <w:rsid w:val="006721C1"/>
    <w:rsid w:val="00672B90"/>
    <w:rsid w:val="00673680"/>
    <w:rsid w:val="006823C1"/>
    <w:rsid w:val="00684A2B"/>
    <w:rsid w:val="00685A9B"/>
    <w:rsid w:val="006908E9"/>
    <w:rsid w:val="00697EF0"/>
    <w:rsid w:val="006A1692"/>
    <w:rsid w:val="006A4A89"/>
    <w:rsid w:val="006A51E1"/>
    <w:rsid w:val="006B39E4"/>
    <w:rsid w:val="006B61E6"/>
    <w:rsid w:val="006C0B0C"/>
    <w:rsid w:val="006F025D"/>
    <w:rsid w:val="006F2F47"/>
    <w:rsid w:val="007030AF"/>
    <w:rsid w:val="00721E80"/>
    <w:rsid w:val="00730ED1"/>
    <w:rsid w:val="00736FF7"/>
    <w:rsid w:val="00740418"/>
    <w:rsid w:val="007413E0"/>
    <w:rsid w:val="00743761"/>
    <w:rsid w:val="00743CAE"/>
    <w:rsid w:val="00747305"/>
    <w:rsid w:val="00747410"/>
    <w:rsid w:val="00751645"/>
    <w:rsid w:val="007544C6"/>
    <w:rsid w:val="00757845"/>
    <w:rsid w:val="0077231B"/>
    <w:rsid w:val="007757A6"/>
    <w:rsid w:val="00787BF1"/>
    <w:rsid w:val="00790599"/>
    <w:rsid w:val="00790FDA"/>
    <w:rsid w:val="007A69F8"/>
    <w:rsid w:val="007B5040"/>
    <w:rsid w:val="007D14F4"/>
    <w:rsid w:val="007D46D0"/>
    <w:rsid w:val="007D7A35"/>
    <w:rsid w:val="007E314C"/>
    <w:rsid w:val="007E751F"/>
    <w:rsid w:val="008023FD"/>
    <w:rsid w:val="00814B96"/>
    <w:rsid w:val="00816DEB"/>
    <w:rsid w:val="00825317"/>
    <w:rsid w:val="0083237B"/>
    <w:rsid w:val="0083526B"/>
    <w:rsid w:val="00836283"/>
    <w:rsid w:val="0083793C"/>
    <w:rsid w:val="008379AD"/>
    <w:rsid w:val="00837AC8"/>
    <w:rsid w:val="008409CF"/>
    <w:rsid w:val="00841976"/>
    <w:rsid w:val="0085784A"/>
    <w:rsid w:val="00857B27"/>
    <w:rsid w:val="0086722D"/>
    <w:rsid w:val="0087135B"/>
    <w:rsid w:val="0087292D"/>
    <w:rsid w:val="0087549A"/>
    <w:rsid w:val="008806DF"/>
    <w:rsid w:val="008855A5"/>
    <w:rsid w:val="00886DB8"/>
    <w:rsid w:val="00891E15"/>
    <w:rsid w:val="008B2F2D"/>
    <w:rsid w:val="008B6CB6"/>
    <w:rsid w:val="008D4251"/>
    <w:rsid w:val="008D474E"/>
    <w:rsid w:val="008D4FC1"/>
    <w:rsid w:val="008E60F0"/>
    <w:rsid w:val="008E7039"/>
    <w:rsid w:val="008F0E05"/>
    <w:rsid w:val="008F2298"/>
    <w:rsid w:val="008F23D3"/>
    <w:rsid w:val="00903E54"/>
    <w:rsid w:val="0091413F"/>
    <w:rsid w:val="0092537A"/>
    <w:rsid w:val="00927323"/>
    <w:rsid w:val="0093590F"/>
    <w:rsid w:val="00940502"/>
    <w:rsid w:val="009478F8"/>
    <w:rsid w:val="00950554"/>
    <w:rsid w:val="009521D8"/>
    <w:rsid w:val="0095718A"/>
    <w:rsid w:val="0095784A"/>
    <w:rsid w:val="0096060C"/>
    <w:rsid w:val="00961C2D"/>
    <w:rsid w:val="009625DE"/>
    <w:rsid w:val="00962E2D"/>
    <w:rsid w:val="009631A2"/>
    <w:rsid w:val="00966F55"/>
    <w:rsid w:val="009744E3"/>
    <w:rsid w:val="00981EB9"/>
    <w:rsid w:val="00983015"/>
    <w:rsid w:val="00997C15"/>
    <w:rsid w:val="009B2209"/>
    <w:rsid w:val="009C28C3"/>
    <w:rsid w:val="009E06C6"/>
    <w:rsid w:val="009F7234"/>
    <w:rsid w:val="00A22010"/>
    <w:rsid w:val="00A251DF"/>
    <w:rsid w:val="00A27F57"/>
    <w:rsid w:val="00A52FA9"/>
    <w:rsid w:val="00A55E79"/>
    <w:rsid w:val="00A6740B"/>
    <w:rsid w:val="00A724CA"/>
    <w:rsid w:val="00A776A9"/>
    <w:rsid w:val="00A823F4"/>
    <w:rsid w:val="00A938B2"/>
    <w:rsid w:val="00A9423D"/>
    <w:rsid w:val="00A968F9"/>
    <w:rsid w:val="00AA2E8B"/>
    <w:rsid w:val="00AA37F5"/>
    <w:rsid w:val="00AB5695"/>
    <w:rsid w:val="00AB7503"/>
    <w:rsid w:val="00AB7E7D"/>
    <w:rsid w:val="00AC1281"/>
    <w:rsid w:val="00AC1EA8"/>
    <w:rsid w:val="00AC35B2"/>
    <w:rsid w:val="00AD2791"/>
    <w:rsid w:val="00AD2ED9"/>
    <w:rsid w:val="00AD3892"/>
    <w:rsid w:val="00AD3E4C"/>
    <w:rsid w:val="00AD688E"/>
    <w:rsid w:val="00AE51F7"/>
    <w:rsid w:val="00AE720E"/>
    <w:rsid w:val="00AE7CAD"/>
    <w:rsid w:val="00AF2794"/>
    <w:rsid w:val="00B0057C"/>
    <w:rsid w:val="00B274D2"/>
    <w:rsid w:val="00B27BFF"/>
    <w:rsid w:val="00B31B76"/>
    <w:rsid w:val="00B337E7"/>
    <w:rsid w:val="00B33CED"/>
    <w:rsid w:val="00B45490"/>
    <w:rsid w:val="00B473E8"/>
    <w:rsid w:val="00B50823"/>
    <w:rsid w:val="00B52D33"/>
    <w:rsid w:val="00B53F01"/>
    <w:rsid w:val="00B66F0C"/>
    <w:rsid w:val="00B82220"/>
    <w:rsid w:val="00B83C06"/>
    <w:rsid w:val="00B84180"/>
    <w:rsid w:val="00BA27D6"/>
    <w:rsid w:val="00BB0921"/>
    <w:rsid w:val="00BB35E3"/>
    <w:rsid w:val="00BB4334"/>
    <w:rsid w:val="00BB687C"/>
    <w:rsid w:val="00BC05D6"/>
    <w:rsid w:val="00BC30DF"/>
    <w:rsid w:val="00BC4FB3"/>
    <w:rsid w:val="00BE0B7D"/>
    <w:rsid w:val="00BE4029"/>
    <w:rsid w:val="00BE5070"/>
    <w:rsid w:val="00BF0D34"/>
    <w:rsid w:val="00BF2819"/>
    <w:rsid w:val="00BF6558"/>
    <w:rsid w:val="00C005A8"/>
    <w:rsid w:val="00C0749A"/>
    <w:rsid w:val="00C20C83"/>
    <w:rsid w:val="00C20C9E"/>
    <w:rsid w:val="00C265B0"/>
    <w:rsid w:val="00C323DF"/>
    <w:rsid w:val="00C37467"/>
    <w:rsid w:val="00C44228"/>
    <w:rsid w:val="00C50E89"/>
    <w:rsid w:val="00C66549"/>
    <w:rsid w:val="00C66FEC"/>
    <w:rsid w:val="00C85F14"/>
    <w:rsid w:val="00C9025A"/>
    <w:rsid w:val="00C92D83"/>
    <w:rsid w:val="00C96837"/>
    <w:rsid w:val="00CA6419"/>
    <w:rsid w:val="00CD53D8"/>
    <w:rsid w:val="00CD7034"/>
    <w:rsid w:val="00CE4C06"/>
    <w:rsid w:val="00CE698C"/>
    <w:rsid w:val="00CF7555"/>
    <w:rsid w:val="00D006D0"/>
    <w:rsid w:val="00D0243F"/>
    <w:rsid w:val="00D0415E"/>
    <w:rsid w:val="00D049A9"/>
    <w:rsid w:val="00D26CAD"/>
    <w:rsid w:val="00D26F71"/>
    <w:rsid w:val="00D3158B"/>
    <w:rsid w:val="00D357CB"/>
    <w:rsid w:val="00D443E2"/>
    <w:rsid w:val="00D63352"/>
    <w:rsid w:val="00D64125"/>
    <w:rsid w:val="00D65B6E"/>
    <w:rsid w:val="00D70B28"/>
    <w:rsid w:val="00D72D19"/>
    <w:rsid w:val="00D87AAF"/>
    <w:rsid w:val="00D9388A"/>
    <w:rsid w:val="00D9697F"/>
    <w:rsid w:val="00D97371"/>
    <w:rsid w:val="00DC457F"/>
    <w:rsid w:val="00DD1713"/>
    <w:rsid w:val="00DD1C34"/>
    <w:rsid w:val="00DD7F4C"/>
    <w:rsid w:val="00DE09C3"/>
    <w:rsid w:val="00E20D4E"/>
    <w:rsid w:val="00E21873"/>
    <w:rsid w:val="00E27886"/>
    <w:rsid w:val="00E27895"/>
    <w:rsid w:val="00E43A72"/>
    <w:rsid w:val="00E46A5E"/>
    <w:rsid w:val="00E665F9"/>
    <w:rsid w:val="00E701BC"/>
    <w:rsid w:val="00E72910"/>
    <w:rsid w:val="00E82B56"/>
    <w:rsid w:val="00E93BDA"/>
    <w:rsid w:val="00EA36E1"/>
    <w:rsid w:val="00EA64AE"/>
    <w:rsid w:val="00EB1AB3"/>
    <w:rsid w:val="00EB60CB"/>
    <w:rsid w:val="00EC6C56"/>
    <w:rsid w:val="00EE74B4"/>
    <w:rsid w:val="00EF0E9F"/>
    <w:rsid w:val="00EF1BCF"/>
    <w:rsid w:val="00EF23D5"/>
    <w:rsid w:val="00F047E7"/>
    <w:rsid w:val="00F07031"/>
    <w:rsid w:val="00F104C9"/>
    <w:rsid w:val="00F17F87"/>
    <w:rsid w:val="00F32B5D"/>
    <w:rsid w:val="00F370E0"/>
    <w:rsid w:val="00F37C7D"/>
    <w:rsid w:val="00F37F3C"/>
    <w:rsid w:val="00F47C90"/>
    <w:rsid w:val="00F515A9"/>
    <w:rsid w:val="00F677A1"/>
    <w:rsid w:val="00F71542"/>
    <w:rsid w:val="00F759BD"/>
    <w:rsid w:val="00F82918"/>
    <w:rsid w:val="00F84F2F"/>
    <w:rsid w:val="00F9104A"/>
    <w:rsid w:val="00F921FC"/>
    <w:rsid w:val="00F92A2F"/>
    <w:rsid w:val="00F96BC7"/>
    <w:rsid w:val="00FB3E07"/>
    <w:rsid w:val="00FB54FF"/>
    <w:rsid w:val="00FC00B3"/>
    <w:rsid w:val="00FD0147"/>
    <w:rsid w:val="00FE0C9E"/>
    <w:rsid w:val="00FE1825"/>
    <w:rsid w:val="00FE251A"/>
    <w:rsid w:val="00FE5B8B"/>
    <w:rsid w:val="00FF38D2"/>
    <w:rsid w:val="777FA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A978D"/>
  <w15:docId w15:val="{F2388250-B4D8-4085-AFA6-8F089A09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43F"/>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pPr>
      <w:tabs>
        <w:tab w:val="center" w:pos="4153"/>
        <w:tab w:val="right" w:pos="8306"/>
      </w:tabs>
      <w:snapToGrid w:val="0"/>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paragraph" w:styleId="a8">
    <w:name w:val="Subtitle"/>
    <w:basedOn w:val="a"/>
    <w:next w:val="a"/>
    <w:link w:val="a9"/>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59"/>
    <w:rPr>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rPr>
      <w:sz w:val="18"/>
      <w:szCs w:val="18"/>
    </w:rPr>
  </w:style>
  <w:style w:type="paragraph" w:customStyle="1" w:styleId="21">
    <w:name w:val="样式2"/>
    <w:basedOn w:val="a"/>
    <w:link w:val="22"/>
    <w:qFormat/>
    <w:pPr>
      <w:jc w:val="center"/>
    </w:pPr>
    <w:rPr>
      <w:rFonts w:ascii="宋体" w:eastAsia="宋体" w:hAnsi="宋体"/>
      <w:sz w:val="48"/>
      <w:szCs w:val="48"/>
    </w:rPr>
  </w:style>
  <w:style w:type="character" w:customStyle="1" w:styleId="22">
    <w:name w:val="样式2 字符"/>
    <w:basedOn w:val="a0"/>
    <w:link w:val="21"/>
    <w:rPr>
      <w:rFonts w:ascii="宋体" w:eastAsia="宋体" w:hAnsi="宋体"/>
      <w:sz w:val="48"/>
      <w:szCs w:val="48"/>
    </w:rPr>
  </w:style>
  <w:style w:type="paragraph" w:customStyle="1" w:styleId="41">
    <w:name w:val="样式4"/>
    <w:basedOn w:val="a"/>
    <w:link w:val="42"/>
    <w:qFormat/>
    <w:pPr>
      <w:jc w:val="left"/>
    </w:pPr>
    <w:rPr>
      <w:rFonts w:ascii="宋体" w:eastAsia="宋体" w:hAnsi="宋体"/>
      <w:sz w:val="28"/>
      <w:szCs w:val="28"/>
    </w:rPr>
  </w:style>
  <w:style w:type="character" w:customStyle="1" w:styleId="42">
    <w:name w:val="样式4 字符"/>
    <w:basedOn w:val="a0"/>
    <w:link w:val="41"/>
    <w:rPr>
      <w:rFonts w:ascii="宋体" w:eastAsia="宋体" w:hAnsi="宋体"/>
      <w:sz w:val="28"/>
      <w:szCs w:val="28"/>
    </w:rPr>
  </w:style>
  <w:style w:type="character" w:customStyle="1" w:styleId="fontstyle01">
    <w:name w:val="fontstyle01"/>
    <w:basedOn w:val="a0"/>
    <w:rPr>
      <w:rFonts w:ascii="宋体" w:eastAsia="宋体" w:hAnsi="宋体" w:hint="eastAsia"/>
      <w:color w:val="000000"/>
      <w:sz w:val="22"/>
      <w:szCs w:val="22"/>
    </w:rPr>
  </w:style>
  <w:style w:type="paragraph" w:styleId="af2">
    <w:name w:val="Revision"/>
    <w:hidden/>
    <w:uiPriority w:val="99"/>
    <w:unhideWhenUsed/>
    <w:rsid w:val="00D357CB"/>
    <w:rPr>
      <w:rFonts w:asciiTheme="minorHAnsi" w:eastAsiaTheme="minorEastAsia" w:hAnsiTheme="minorHAnsi" w:cstheme="minorBidi"/>
      <w:kern w:val="2"/>
      <w:sz w:val="21"/>
      <w:szCs w:val="22"/>
      <w14:ligatures w14:val="standardContextual"/>
    </w:rPr>
  </w:style>
  <w:style w:type="paragraph" w:styleId="TOC">
    <w:name w:val="TOC Heading"/>
    <w:basedOn w:val="1"/>
    <w:next w:val="a"/>
    <w:uiPriority w:val="39"/>
    <w:unhideWhenUsed/>
    <w:qFormat/>
    <w:rsid w:val="0063766E"/>
    <w:pPr>
      <w:widowControl/>
      <w:spacing w:before="240" w:after="0" w:line="259" w:lineRule="auto"/>
      <w:jc w:val="left"/>
      <w:outlineLvl w:val="9"/>
    </w:pPr>
    <w:rPr>
      <w:kern w:val="0"/>
      <w:sz w:val="32"/>
      <w:szCs w:val="32"/>
      <w14:ligatures w14:val="none"/>
    </w:rPr>
  </w:style>
  <w:style w:type="paragraph" w:styleId="TOC1">
    <w:name w:val="toc 1"/>
    <w:basedOn w:val="a"/>
    <w:next w:val="a"/>
    <w:autoRedefine/>
    <w:uiPriority w:val="39"/>
    <w:unhideWhenUsed/>
    <w:rsid w:val="0063766E"/>
  </w:style>
  <w:style w:type="character" w:styleId="af3">
    <w:name w:val="Hyperlink"/>
    <w:basedOn w:val="a0"/>
    <w:uiPriority w:val="99"/>
    <w:unhideWhenUsed/>
    <w:rsid w:val="006376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2CB6-8ACB-49A7-A216-74BF8471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14</Pages>
  <Words>5155</Words>
  <Characters>9178</Characters>
  <Application>Microsoft Office Word</Application>
  <DocSecurity>0</DocSecurity>
  <Lines>316</Lines>
  <Paragraphs>170</Paragraphs>
  <ScaleCrop>false</ScaleCrop>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ziyan wu</dc:creator>
  <dc:description>NE.Ref</dc:description>
  <cp:lastModifiedBy>ziyan wu</cp:lastModifiedBy>
  <cp:revision>580</cp:revision>
  <dcterms:created xsi:type="dcterms:W3CDTF">2025-09-11T14:37:00Z</dcterms:created>
  <dcterms:modified xsi:type="dcterms:W3CDTF">2025-11-12T02:45:00Z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12F7A246B259FCE01949D668A2DA17EF_42</vt:lpwstr>
  </property>
</Properties>
</file>